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2C" w:rsidRPr="001537B6" w:rsidRDefault="00B53F2C" w:rsidP="00B53F2C">
      <w:pPr>
        <w:pStyle w:val="11"/>
        <w:shd w:val="clear" w:color="auto" w:fill="auto"/>
        <w:spacing w:line="211" w:lineRule="auto"/>
        <w:ind w:firstLine="0"/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</w:pPr>
      <w:r w:rsidRPr="001537B6">
        <w:rPr>
          <w:rFonts w:ascii="Proxima Nova ExCn Rg" w:hAnsi="Proxima Nova ExCn Rg" w:cstheme="minorHAnsi"/>
          <w:noProof/>
          <w:color w:val="000000" w:themeColor="text1"/>
          <w:sz w:val="28"/>
          <w:szCs w:val="28"/>
        </w:rPr>
        <w:drawing>
          <wp:inline distT="0" distB="0" distL="0" distR="0" wp14:anchorId="25C12A4F" wp14:editId="7E80D610">
            <wp:extent cx="1320800" cy="87405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30" cy="8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ab/>
      </w:r>
      <w:r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ab/>
      </w:r>
      <w:r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ab/>
      </w:r>
      <w:r w:rsidRPr="001537B6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 xml:space="preserve">Перечень Подтверждающих документов </w:t>
      </w:r>
    </w:p>
    <w:p w:rsidR="00B53F2C" w:rsidRDefault="00B53F2C" w:rsidP="00B53F2C">
      <w:pPr>
        <w:pStyle w:val="11"/>
        <w:shd w:val="clear" w:color="auto" w:fill="auto"/>
        <w:spacing w:line="211" w:lineRule="auto"/>
        <w:ind w:firstLine="0"/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/>
        </w:rPr>
      </w:pPr>
      <w:r w:rsidRPr="001537B6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>в целях</w:t>
      </w:r>
      <w:r w:rsidRPr="001537B6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/>
        </w:rPr>
        <w:t xml:space="preserve"> дополнительных временных мер экономического характера, связанных с обращением ценных бумаг</w:t>
      </w:r>
    </w:p>
    <w:p w:rsidR="00B53F2C" w:rsidRPr="001537B6" w:rsidRDefault="00B53F2C" w:rsidP="00B53F2C">
      <w:pPr>
        <w:pStyle w:val="11"/>
        <w:shd w:val="clear" w:color="auto" w:fill="auto"/>
        <w:spacing w:line="211" w:lineRule="auto"/>
        <w:ind w:firstLine="0"/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/>
        </w:rPr>
      </w:pPr>
    </w:p>
    <w:p w:rsidR="00B53F2C" w:rsidRPr="001537B6" w:rsidRDefault="00B53F2C" w:rsidP="00B53F2C">
      <w:pPr>
        <w:pStyle w:val="11"/>
        <w:shd w:val="clear" w:color="auto" w:fill="auto"/>
        <w:tabs>
          <w:tab w:val="left" w:pos="426"/>
        </w:tabs>
        <w:spacing w:line="211" w:lineRule="auto"/>
        <w:ind w:firstLine="0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bCs/>
          <w:color w:val="000000" w:themeColor="text1"/>
          <w:sz w:val="28"/>
          <w:szCs w:val="28"/>
          <w:lang w:eastAsia="ru-RU" w:bidi="ru-RU"/>
        </w:rPr>
        <w:t>1. Перечень документов, предоставляемых Российскими юридическими лицами и физическими лицами - гражданами Российской Федерации</w:t>
      </w:r>
    </w:p>
    <w:p w:rsidR="00B53F2C" w:rsidRPr="001537B6" w:rsidRDefault="00B53F2C" w:rsidP="00B53F2C">
      <w:pPr>
        <w:tabs>
          <w:tab w:val="left" w:pos="426"/>
        </w:tabs>
        <w:jc w:val="both"/>
        <w:rPr>
          <w:rFonts w:ascii="Proxima Nova ExCn Rg" w:hAnsi="Proxima Nova ExCn Rg"/>
          <w:b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b/>
          <w:color w:val="000000" w:themeColor="text1"/>
          <w:sz w:val="28"/>
          <w:szCs w:val="28"/>
        </w:rPr>
        <w:t>Комментарии к порядку предоставления документов:</w:t>
      </w:r>
    </w:p>
    <w:p w:rsidR="00B53F2C" w:rsidRPr="001537B6" w:rsidRDefault="00B53F2C" w:rsidP="00B53F2C">
      <w:pPr>
        <w:pStyle w:val="ac"/>
        <w:widowControl/>
        <w:numPr>
          <w:ilvl w:val="0"/>
          <w:numId w:val="13"/>
        </w:numPr>
        <w:tabs>
          <w:tab w:val="left" w:pos="426"/>
        </w:tabs>
        <w:adjustRightInd/>
        <w:spacing w:after="200" w:line="276" w:lineRule="auto"/>
        <w:ind w:left="0" w:firstLine="0"/>
        <w:jc w:val="both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i/>
          <w:color w:val="000000" w:themeColor="text1"/>
          <w:sz w:val="28"/>
          <w:szCs w:val="28"/>
        </w:rPr>
        <w:t>Документы, представленные зарегистрированным лицом Регистратору по пунктам 1 и 2 настоящего Перечня, считаются актуальными в течение трех месяцев с даты их предоставления. По истечении трех месяцев при совершении операции по зачислению или списанию ценных бумаг зарегистрированное лицо обязан предоставить Регистратору документы по пунктам 1 и 2 настоящего Перечня в отношении зарегистрированного лица и контрагента по сделке.</w:t>
      </w:r>
    </w:p>
    <w:p w:rsidR="00B53F2C" w:rsidRPr="001537B6" w:rsidRDefault="00B53F2C" w:rsidP="00B53F2C">
      <w:pPr>
        <w:pStyle w:val="ac"/>
        <w:widowControl/>
        <w:numPr>
          <w:ilvl w:val="0"/>
          <w:numId w:val="13"/>
        </w:numPr>
        <w:tabs>
          <w:tab w:val="left" w:pos="426"/>
        </w:tabs>
        <w:adjustRightInd/>
        <w:spacing w:after="200" w:line="276" w:lineRule="auto"/>
        <w:ind w:left="0" w:firstLine="0"/>
        <w:jc w:val="both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i/>
          <w:color w:val="000000" w:themeColor="text1"/>
          <w:sz w:val="28"/>
          <w:szCs w:val="28"/>
        </w:rPr>
        <w:t>В случае получения разрешения на сделку, выдаваемого в соответствии с Указами Президента, Регистратору представляется разрешение. В данном случае обязанность по предоставлению документов по пунктам 1, 2 и 3 настоящего Перечня снимается.</w:t>
      </w:r>
    </w:p>
    <w:p w:rsidR="00B53F2C" w:rsidRPr="001537B6" w:rsidRDefault="00B53F2C" w:rsidP="00B53F2C">
      <w:pPr>
        <w:pStyle w:val="ac"/>
        <w:widowControl/>
        <w:numPr>
          <w:ilvl w:val="0"/>
          <w:numId w:val="13"/>
        </w:numPr>
        <w:tabs>
          <w:tab w:val="left" w:pos="426"/>
        </w:tabs>
        <w:adjustRightInd/>
        <w:spacing w:after="200" w:line="276" w:lineRule="auto"/>
        <w:ind w:left="0" w:firstLine="0"/>
        <w:jc w:val="both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i/>
          <w:color w:val="000000" w:themeColor="text1"/>
          <w:sz w:val="28"/>
          <w:szCs w:val="28"/>
        </w:rPr>
        <w:t>В случае предоставления Регистратору письма-заверения с приложением структуры собственности (состав и структура акционеров (участников), с раскрытием всей цепочки владения до конечных владельцев (бенефициаров), подтверждающих, что конечным бенефициаром является недружественное иностранное лицо, обязанность по предоставлению Регистратору документов по пунктам 1 и 2 настоящего Перечня снимается.</w:t>
      </w:r>
    </w:p>
    <w:p w:rsidR="00B53F2C" w:rsidRPr="001537B6" w:rsidRDefault="00B53F2C" w:rsidP="00B53F2C">
      <w:pPr>
        <w:pStyle w:val="ac"/>
        <w:widowControl/>
        <w:numPr>
          <w:ilvl w:val="0"/>
          <w:numId w:val="13"/>
        </w:numPr>
        <w:tabs>
          <w:tab w:val="left" w:pos="426"/>
        </w:tabs>
        <w:adjustRightInd/>
        <w:spacing w:after="200" w:line="276" w:lineRule="auto"/>
        <w:ind w:left="0" w:firstLine="0"/>
        <w:jc w:val="both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i/>
          <w:color w:val="000000" w:themeColor="text1"/>
          <w:sz w:val="28"/>
          <w:szCs w:val="28"/>
        </w:rPr>
        <w:t>В отношении российских юридических лиц, владение которыми более чем на 50% осуществляют РФ, субъекты РФ, государственные и муниципальные образования, и о чем есть публичная информация, документы по пунктам 1 и 2 настоящего Перечня могут не предоставляться при условии представления Регистратору письма-заверения с указанием публично достоверного источника информации, подтверждающего раскрытие вышеуказанной информации.</w:t>
      </w:r>
    </w:p>
    <w:p w:rsidR="00B53F2C" w:rsidRPr="001537B6" w:rsidRDefault="00B53F2C" w:rsidP="00B53F2C">
      <w:pPr>
        <w:pStyle w:val="ac"/>
        <w:widowControl/>
        <w:numPr>
          <w:ilvl w:val="0"/>
          <w:numId w:val="13"/>
        </w:numPr>
        <w:tabs>
          <w:tab w:val="left" w:pos="426"/>
        </w:tabs>
        <w:adjustRightInd/>
        <w:spacing w:after="200" w:line="276" w:lineRule="auto"/>
        <w:ind w:left="0" w:firstLine="0"/>
        <w:jc w:val="both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i/>
          <w:color w:val="000000" w:themeColor="text1"/>
          <w:sz w:val="28"/>
          <w:szCs w:val="28"/>
        </w:rPr>
        <w:t xml:space="preserve">В отношении государственных структур, статус и правовое положение которых определяется федеральными законами, документы по пунктам 1 и 2 настоящего Перечня могут не предоставляться при условии представления Регистратору письма-заверения с указанием публично достоверного источника информации, подтверждающего раскрытие вышеуказанной информации. </w:t>
      </w:r>
    </w:p>
    <w:p w:rsidR="00B53F2C" w:rsidRPr="001537B6" w:rsidRDefault="00B53F2C" w:rsidP="00B53F2C">
      <w:pPr>
        <w:pStyle w:val="ac"/>
        <w:widowControl/>
        <w:numPr>
          <w:ilvl w:val="0"/>
          <w:numId w:val="13"/>
        </w:numPr>
        <w:tabs>
          <w:tab w:val="left" w:pos="426"/>
        </w:tabs>
        <w:adjustRightInd/>
        <w:spacing w:after="200" w:line="276" w:lineRule="auto"/>
        <w:ind w:left="0" w:firstLine="0"/>
        <w:jc w:val="both"/>
        <w:rPr>
          <w:rFonts w:ascii="Proxima Nova ExCn Rg" w:hAnsi="Proxima Nova ExCn Rg"/>
          <w:i/>
          <w:color w:val="000000" w:themeColor="text1"/>
          <w:sz w:val="28"/>
          <w:szCs w:val="28"/>
        </w:rPr>
      </w:pPr>
      <w:r w:rsidRPr="001537B6">
        <w:rPr>
          <w:rFonts w:ascii="Proxima Nova ExCn Rg" w:hAnsi="Proxima Nova ExCn Rg"/>
          <w:i/>
          <w:color w:val="000000" w:themeColor="text1"/>
          <w:sz w:val="28"/>
          <w:szCs w:val="28"/>
        </w:rPr>
        <w:t>За Регистратором сохраняется право запросить дополнительные документы.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8"/>
        <w:gridCol w:w="1980"/>
        <w:gridCol w:w="7234"/>
      </w:tblGrid>
      <w:tr w:rsidR="00B53F2C" w:rsidRPr="001537B6" w:rsidTr="00B53F2C">
        <w:tc>
          <w:tcPr>
            <w:tcW w:w="9912" w:type="dxa"/>
            <w:gridSpan w:val="3"/>
          </w:tcPr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Юридические лица</w:t>
            </w:r>
          </w:p>
        </w:tc>
      </w:tr>
      <w:tr w:rsidR="00B53F2C" w:rsidRPr="001537B6" w:rsidTr="00B53F2C">
        <w:tc>
          <w:tcPr>
            <w:tcW w:w="698" w:type="dxa"/>
          </w:tcPr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0" w:type="dxa"/>
          </w:tcPr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Для подтверждения, что Российские юридические лица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не находятся под контролем иностранных лиц</w:t>
            </w:r>
          </w:p>
        </w:tc>
        <w:tc>
          <w:tcPr>
            <w:tcW w:w="7234" w:type="dxa"/>
          </w:tcPr>
          <w:p w:rsidR="00B53F2C" w:rsidRPr="001537B6" w:rsidRDefault="00B53F2C" w:rsidP="00F3062D">
            <w:pPr>
              <w:pStyle w:val="ab"/>
              <w:shd w:val="clear" w:color="auto" w:fill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 xml:space="preserve">1. Письмо-заверение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(по Форме 1. Письмо-</w:t>
            </w:r>
            <w:proofErr w:type="spellStart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заверение_для</w:t>
            </w:r>
            <w:proofErr w:type="spellEnd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всех, кроме ПАО - приложение 1 к настоящему перечню, </w:t>
            </w:r>
            <w:r w:rsidRPr="001537B6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  <w:u w:val="single"/>
              </w:rPr>
              <w:t>подписывается клиентом/зарегистрированным лицом</w:t>
            </w:r>
            <w:r w:rsidRPr="001537B6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</w:rPr>
              <w:t>)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,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к которому приобщаются: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"/>
              </w:numPr>
              <w:shd w:val="clear" w:color="auto" w:fill="auto"/>
              <w:tabs>
                <w:tab w:val="left" w:pos="540"/>
              </w:tabs>
              <w:ind w:firstLine="14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Структура собственности (состав и структура акционеров (участников), с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раскрытием всей цепочки владения до конечных владельцев (бенефициаров) (в произвольной форме (схема, таблица);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"/>
              </w:numPr>
              <w:shd w:val="clear" w:color="auto" w:fill="auto"/>
              <w:tabs>
                <w:tab w:val="left" w:pos="524"/>
              </w:tabs>
              <w:ind w:firstLine="14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Выписка из ЕГРЮЛ для ООО и АО с единственным акционером (если на момент предоставления документа сведения о единственном акционере отражены в ЕГРЮЛ) в отношении каждого лица в структуре собственности.</w:t>
            </w:r>
          </w:p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Список владельцев ценных бумаг для непубличных АО 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/получателем Списка выступает АО-эмитент. Список выдается держателем реестра АО)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  <w:p w:rsidR="00B53F2C" w:rsidRPr="001537B6" w:rsidRDefault="00B53F2C" w:rsidP="00F3062D">
            <w:pPr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</w:pPr>
          </w:p>
        </w:tc>
      </w:tr>
      <w:tr w:rsidR="00B53F2C" w:rsidRPr="001537B6" w:rsidTr="00B53F2C">
        <w:tc>
          <w:tcPr>
            <w:tcW w:w="698" w:type="dxa"/>
          </w:tcPr>
          <w:p w:rsidR="00B53F2C" w:rsidRPr="001537B6" w:rsidRDefault="00B53F2C" w:rsidP="00F3062D">
            <w:pPr>
              <w:pStyle w:val="ab"/>
              <w:shd w:val="clear" w:color="auto" w:fill="auto"/>
              <w:ind w:firstLine="140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2.</w:t>
            </w:r>
          </w:p>
        </w:tc>
        <w:tc>
          <w:tcPr>
            <w:tcW w:w="1980" w:type="dxa"/>
          </w:tcPr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ПАО</w:t>
            </w:r>
          </w:p>
        </w:tc>
        <w:tc>
          <w:tcPr>
            <w:tcW w:w="7234" w:type="dxa"/>
            <w:vAlign w:val="bottom"/>
          </w:tcPr>
          <w:p w:rsidR="00B53F2C" w:rsidRPr="001537B6" w:rsidRDefault="00B53F2C" w:rsidP="00F3062D">
            <w:pPr>
              <w:pStyle w:val="ab"/>
              <w:shd w:val="clear" w:color="auto" w:fill="auto"/>
              <w:ind w:firstLine="14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1. Письмо-заверение в свободном формате для ПАО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(по Форме 2. Письмо-</w:t>
            </w:r>
            <w:proofErr w:type="spellStart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заверение_для</w:t>
            </w:r>
            <w:proofErr w:type="spellEnd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ПАО - приложение 2 к настоящему перечню) </w:t>
            </w:r>
            <w:r w:rsidRPr="001537B6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</w:rPr>
              <w:t>(подписывается ПАО)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, 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подписывается ПАО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к которому приобщаются: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2"/>
              </w:numPr>
              <w:shd w:val="clear" w:color="auto" w:fill="auto"/>
              <w:tabs>
                <w:tab w:val="left" w:pos="524"/>
              </w:tabs>
              <w:ind w:firstLine="14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Отчет эмитента за последний отчетный период, предшествующий дате письма-заверения;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2"/>
              </w:numPr>
              <w:shd w:val="clear" w:color="auto" w:fill="auto"/>
              <w:tabs>
                <w:tab w:val="left" w:pos="528"/>
              </w:tabs>
              <w:ind w:firstLine="14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Структура собственности (дополнительно, при наличии - в произвольной форме (схема, таблица).</w:t>
            </w:r>
          </w:p>
        </w:tc>
      </w:tr>
      <w:tr w:rsidR="00B53F2C" w:rsidRPr="001537B6" w:rsidTr="00B53F2C">
        <w:tc>
          <w:tcPr>
            <w:tcW w:w="9912" w:type="dxa"/>
            <w:gridSpan w:val="3"/>
          </w:tcPr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t>Физические лица</w:t>
            </w:r>
          </w:p>
        </w:tc>
      </w:tr>
      <w:tr w:rsidR="00B53F2C" w:rsidRPr="001537B6" w:rsidTr="00B53F2C">
        <w:tc>
          <w:tcPr>
            <w:tcW w:w="698" w:type="dxa"/>
          </w:tcPr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  <w:tc>
          <w:tcPr>
            <w:tcW w:w="1980" w:type="dxa"/>
          </w:tcPr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Документы, подтверждающие гражданство</w:t>
            </w:r>
          </w:p>
        </w:tc>
        <w:tc>
          <w:tcPr>
            <w:tcW w:w="7234" w:type="dxa"/>
          </w:tcPr>
          <w:p w:rsidR="00B53F2C" w:rsidRPr="001537B6" w:rsidRDefault="00B53F2C" w:rsidP="00F3062D">
            <w:pPr>
              <w:pStyle w:val="1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1. паспорт гражданина Российской Федерации.</w:t>
            </w:r>
          </w:p>
        </w:tc>
      </w:tr>
    </w:tbl>
    <w:p w:rsidR="00B53F2C" w:rsidRPr="001537B6" w:rsidRDefault="00B53F2C" w:rsidP="00B53F2C">
      <w:pPr>
        <w:pStyle w:val="11"/>
        <w:shd w:val="clear" w:color="auto" w:fill="auto"/>
        <w:tabs>
          <w:tab w:val="left" w:pos="495"/>
        </w:tabs>
        <w:ind w:firstLine="0"/>
        <w:jc w:val="both"/>
        <w:rPr>
          <w:rFonts w:ascii="Proxima Nova ExCn Rg" w:hAnsi="Proxima Nova ExCn Rg"/>
          <w:color w:val="000000" w:themeColor="text1"/>
          <w:sz w:val="28"/>
          <w:szCs w:val="28"/>
          <w:lang w:eastAsia="ru-RU" w:bidi="ru-RU"/>
        </w:rPr>
      </w:pPr>
    </w:p>
    <w:p w:rsidR="00B53F2C" w:rsidRPr="001537B6" w:rsidRDefault="00B53F2C" w:rsidP="00B53F2C">
      <w:pPr>
        <w:pStyle w:val="11"/>
        <w:shd w:val="clear" w:color="auto" w:fill="auto"/>
        <w:spacing w:after="0"/>
        <w:ind w:firstLine="0"/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</w:pPr>
      <w:r w:rsidRPr="001537B6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>2. Перечень документов, предоставляемых иностранными юридическими лицами и физическими лицами, не являющимися гражданами Российской Федерации</w:t>
      </w:r>
    </w:p>
    <w:p w:rsidR="00B53F2C" w:rsidRPr="001537B6" w:rsidRDefault="00B53F2C" w:rsidP="00B53F2C">
      <w:pPr>
        <w:pStyle w:val="11"/>
        <w:shd w:val="clear" w:color="auto" w:fill="auto"/>
        <w:spacing w:line="211" w:lineRule="auto"/>
        <w:jc w:val="both"/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3"/>
        <w:gridCol w:w="1979"/>
        <w:gridCol w:w="7230"/>
      </w:tblGrid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pStyle w:val="1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53F2C" w:rsidRPr="001537B6" w:rsidRDefault="00B53F2C" w:rsidP="00F3062D">
            <w:pPr>
              <w:pStyle w:val="1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Для юридических лиц</w:t>
            </w:r>
          </w:p>
        </w:tc>
        <w:tc>
          <w:tcPr>
            <w:tcW w:w="7365" w:type="dxa"/>
          </w:tcPr>
          <w:p w:rsidR="00B53F2C" w:rsidRPr="001537B6" w:rsidRDefault="00B53F2C" w:rsidP="00F3062D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1. Письмо о структуре и составе акционеров/участников с </w:t>
            </w:r>
            <w:r w:rsidRPr="001537B6">
              <w:rPr>
                <w:rFonts w:ascii="Proxima Nova ExCn Rg" w:hAnsi="Proxima Nova ExCn Rg"/>
                <w:b/>
                <w:bCs/>
                <w:color w:val="000000" w:themeColor="text1"/>
                <w:sz w:val="28"/>
                <w:szCs w:val="28"/>
                <w:lang w:bidi="ru-RU"/>
              </w:rPr>
              <w:t xml:space="preserve">раскрытием всей цепочки владения до конечных владельцев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(бенефициаров) с заверением о том, что информация, содержащаяся в представленных к письму документах, актуальна на дату подписания письма 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u w:val="single"/>
                <w:lang w:bidi="ru-RU"/>
              </w:rPr>
              <w:t>(в произвольной форме, подписывается зарегистрированным лицом)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bidi="ru-RU"/>
              </w:rPr>
              <w:t>-к которому приобщаются:</w:t>
            </w:r>
          </w:p>
          <w:p w:rsidR="00B53F2C" w:rsidRPr="001537B6" w:rsidRDefault="00B53F2C" w:rsidP="00F3062D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1.1. Документ, подтверждающий создание (учреждение) иностранного лица (для каждого лица в цепочке).</w:t>
            </w:r>
          </w:p>
          <w:p w:rsidR="00B53F2C" w:rsidRPr="001537B6" w:rsidRDefault="00B53F2C" w:rsidP="00F3062D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Такими документами, в частности, могут быть:</w:t>
            </w:r>
          </w:p>
          <w:p w:rsidR="00B53F2C" w:rsidRPr="001537B6" w:rsidRDefault="00B53F2C" w:rsidP="00B53F2C">
            <w:pPr>
              <w:pStyle w:val="ac"/>
              <w:numPr>
                <w:ilvl w:val="0"/>
                <w:numId w:val="3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Свидетельство/сертификат о регистрации (инкорпорации);</w:t>
            </w:r>
          </w:p>
          <w:p w:rsidR="00B53F2C" w:rsidRPr="001537B6" w:rsidRDefault="00B53F2C" w:rsidP="00B53F2C">
            <w:pPr>
              <w:pStyle w:val="ac"/>
              <w:numPr>
                <w:ilvl w:val="0"/>
                <w:numId w:val="3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Выписка из государственного реестра/торговой палаты. Иные аналогичные документы, содержащие информацию о месте учреждения организации</w:t>
            </w:r>
          </w:p>
          <w:p w:rsidR="00B53F2C" w:rsidRPr="001537B6" w:rsidRDefault="00B53F2C" w:rsidP="00F3062D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bidi="ru-RU"/>
              </w:rPr>
              <w:t>Документы должны быть выданы уполномоченным государственным органом (не самой компанией).</w:t>
            </w:r>
          </w:p>
          <w:p w:rsidR="00B53F2C" w:rsidRPr="001537B6" w:rsidRDefault="00B53F2C" w:rsidP="00F3062D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1.2. Документ, содержащий сведения о размере уставного капитала и составе акционеров/участников (для каждого лица в цепочке).</w:t>
            </w:r>
          </w:p>
          <w:p w:rsidR="00B53F2C" w:rsidRPr="001537B6" w:rsidRDefault="00B53F2C" w:rsidP="00F3062D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Такими документами, в частности, могут быть:</w:t>
            </w:r>
          </w:p>
          <w:p w:rsidR="00B53F2C" w:rsidRPr="001537B6" w:rsidRDefault="00B53F2C" w:rsidP="00B53F2C">
            <w:pPr>
              <w:pStyle w:val="ac"/>
              <w:numPr>
                <w:ilvl w:val="0"/>
                <w:numId w:val="4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lastRenderedPageBreak/>
              <w:t>Свидетельство/сертификат об акционерах/участниках;</w:t>
            </w:r>
          </w:p>
          <w:p w:rsidR="00B53F2C" w:rsidRPr="001537B6" w:rsidRDefault="00B53F2C" w:rsidP="00B53F2C">
            <w:pPr>
              <w:pStyle w:val="ac"/>
              <w:numPr>
                <w:ilvl w:val="0"/>
                <w:numId w:val="4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Устав/учредительный договор/ меморандум;</w:t>
            </w:r>
          </w:p>
          <w:p w:rsidR="00B53F2C" w:rsidRPr="001537B6" w:rsidRDefault="00B53F2C" w:rsidP="00B53F2C">
            <w:pPr>
              <w:pStyle w:val="ac"/>
              <w:numPr>
                <w:ilvl w:val="0"/>
                <w:numId w:val="4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Выписка из государственного реестра/торговой палаты. Иные аналогичные документы, содержащие информацию о размере уставного капитала и акционерах/участниках.</w:t>
            </w:r>
          </w:p>
          <w:p w:rsidR="00B53F2C" w:rsidRPr="001537B6" w:rsidRDefault="00B53F2C" w:rsidP="00F3062D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Документы должны быть выданы уполномоченным государственным органом (не самой компанией).</w:t>
            </w:r>
          </w:p>
        </w:tc>
      </w:tr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pStyle w:val="1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985" w:type="dxa"/>
          </w:tcPr>
          <w:p w:rsidR="00B53F2C" w:rsidRPr="001537B6" w:rsidRDefault="00B53F2C" w:rsidP="00F3062D">
            <w:pPr>
              <w:pStyle w:val="1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физических лиц</w:t>
            </w:r>
          </w:p>
        </w:tc>
        <w:tc>
          <w:tcPr>
            <w:tcW w:w="7365" w:type="dxa"/>
          </w:tcPr>
          <w:p w:rsidR="00B53F2C" w:rsidRPr="001537B6" w:rsidRDefault="00B53F2C" w:rsidP="00B53F2C">
            <w:pPr>
              <w:pStyle w:val="ab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Документы, подтверждающие гражданство.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5"/>
              </w:numPr>
              <w:shd w:val="clear" w:color="auto" w:fill="auto"/>
              <w:tabs>
                <w:tab w:val="left" w:pos="228"/>
              </w:tabs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Вид на жительство в РФ (при наличии).</w:t>
            </w:r>
          </w:p>
        </w:tc>
      </w:tr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pStyle w:val="1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1985" w:type="dxa"/>
          </w:tcPr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подтверждения контролирующих лиц юридического лица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(для применения</w:t>
            </w:r>
          </w:p>
          <w:p w:rsidR="00B53F2C" w:rsidRPr="001537B6" w:rsidRDefault="00B53F2C" w:rsidP="00F3062D">
            <w:pPr>
              <w:pStyle w:val="1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п.12 Указа №95)</w:t>
            </w:r>
          </w:p>
        </w:tc>
        <w:tc>
          <w:tcPr>
            <w:tcW w:w="7365" w:type="dxa"/>
          </w:tcPr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Предоставляется комплект из 3-х документов: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812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1. Уведомление об участии в иностранных организациях (об учреждении иностранных структур без образования юридического лица), подаваемое в соответствии с подпунктами 1 и 2 п. 3.1. ст. 25.14 НК РФ (последнее поданное в налоговый орган уведомление), и документы, подтверждающие направление уведомления в налоговый орган: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540"/>
              </w:tabs>
              <w:ind w:left="520" w:hanging="3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квитанция ФНС России о приеме электронного документа (при представлении документа в электронной форме по телекоммуникационным каналам связи или через личный кабинет» налогоплательщика);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536"/>
              </w:tabs>
              <w:ind w:left="520" w:hanging="3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отметка о принятии документа (при представлении документа на бумажном носителе непосредственно в налоговые органы)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576"/>
              </w:tabs>
              <w:ind w:left="520" w:hanging="3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почтовая квитанция с описью вложения с отметкой организации почтовой связи (при направлении документа по почте).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576"/>
              </w:tabs>
              <w:ind w:left="20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2.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Уведомление о контролируемых иностранных компаниях, подаваемое </w:t>
            </w:r>
            <w:proofErr w:type="gramStart"/>
            <w:r w:rsidRPr="001537B6">
              <w:rPr>
                <w:rFonts w:ascii="Proxima Nova ExCn Rg" w:hAnsi="Proxima Nova ExCn Rg"/>
                <w:smallCaps/>
                <w:color w:val="000000" w:themeColor="text1"/>
                <w:sz w:val="28"/>
                <w:szCs w:val="28"/>
                <w:lang w:eastAsia="ru-RU" w:bidi="ru-RU"/>
              </w:rPr>
              <w:t>в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соответствии с</w:t>
            </w:r>
            <w:proofErr w:type="gramEnd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подпунктом 3 п. 3.1. ст. 25.14 НК РФ, (последнее поданное в налоговый орган уведомление), и документы, подтверждающие направление уведомления в налоговый орган: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7"/>
              </w:numPr>
              <w:shd w:val="clear" w:color="auto" w:fill="auto"/>
              <w:tabs>
                <w:tab w:val="left" w:pos="532"/>
              </w:tabs>
              <w:spacing w:line="226" w:lineRule="auto"/>
              <w:ind w:left="520" w:hanging="3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квитанция ФНС России о приеме электронного документа (при представлении документа в электронной форме по телекоммуникационным каналам связи или через личный кабинет налогоплательщика);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7"/>
              </w:numPr>
              <w:shd w:val="clear" w:color="auto" w:fill="auto"/>
              <w:tabs>
                <w:tab w:val="left" w:pos="528"/>
              </w:tabs>
              <w:spacing w:line="226" w:lineRule="auto"/>
              <w:ind w:left="520" w:hanging="3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отметка о принятии документа (при предоставлении документа на бумажном носителе непосредственно в налоговые органы);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7"/>
              </w:numPr>
              <w:shd w:val="clear" w:color="auto" w:fill="auto"/>
              <w:tabs>
                <w:tab w:val="left" w:pos="532"/>
              </w:tabs>
              <w:spacing w:line="214" w:lineRule="auto"/>
              <w:ind w:left="520" w:hanging="3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почтовая квитанция с описью вложения с отметкой организации почтовой связи (при направлении документа по почте).</w:t>
            </w:r>
          </w:p>
          <w:p w:rsidR="00B53F2C" w:rsidRPr="001537B6" w:rsidRDefault="00B53F2C" w:rsidP="00F3062D">
            <w:pPr>
              <w:pStyle w:val="1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3. Письмо, подтверждающее, что с момента направления уведомлений в налоговый орган в информации, представленной в уведомлениях, изменений не произошло (в произвольной форме, подписывается зарегистрированным лицом).</w:t>
            </w:r>
          </w:p>
        </w:tc>
      </w:tr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pStyle w:val="11"/>
              <w:shd w:val="clear" w:color="auto" w:fill="auto"/>
              <w:spacing w:after="0" w:line="240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4. </w:t>
            </w:r>
          </w:p>
        </w:tc>
        <w:tc>
          <w:tcPr>
            <w:tcW w:w="1985" w:type="dxa"/>
          </w:tcPr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Для подтверждения контролирующих лиц и даты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приобретения контроля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(для применения п.4.</w:t>
            </w:r>
          </w:p>
          <w:p w:rsidR="00B53F2C" w:rsidRPr="001537B6" w:rsidRDefault="00B53F2C" w:rsidP="00F3062D">
            <w:pPr>
              <w:pStyle w:val="11"/>
              <w:shd w:val="clear" w:color="auto" w:fill="auto"/>
              <w:spacing w:after="0" w:line="240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Указа №254)</w:t>
            </w:r>
          </w:p>
        </w:tc>
        <w:tc>
          <w:tcPr>
            <w:tcW w:w="7365" w:type="dxa"/>
          </w:tcPr>
          <w:p w:rsidR="00B53F2C" w:rsidRPr="001537B6" w:rsidRDefault="00B53F2C" w:rsidP="00F3062D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 xml:space="preserve">Документы, подтверждающие, что иностранное лицо находится под контролем юридических лиц или физических лиц, личным законом которых является право иностранного государства, не относящегося к иностранным государствам, совершающим недружественные действия, или под контролем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иностранного государства, не относящего сяк иностранным государствам, с свершающим недружественные действия, а также документы, подтверждающие установление контроля до 1 марта 2022 г. Список документов аналогичен списку, указанному в п.1 данного раздела.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635"/>
              </w:tabs>
              <w:spacing w:after="1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2.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Документы, подтверждающие личный закон лиц, контролирующих иностранное лицо.</w:t>
            </w:r>
          </w:p>
        </w:tc>
      </w:tr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pStyle w:val="ab"/>
              <w:shd w:val="clear" w:color="auto" w:fill="auto"/>
              <w:ind w:firstLine="140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4.1.</w:t>
            </w:r>
          </w:p>
        </w:tc>
        <w:tc>
          <w:tcPr>
            <w:tcW w:w="1985" w:type="dxa"/>
          </w:tcPr>
          <w:p w:rsidR="00B53F2C" w:rsidRPr="001537B6" w:rsidRDefault="00B53F2C" w:rsidP="00F3062D">
            <w:pPr>
              <w:pStyle w:val="ab"/>
              <w:shd w:val="clear" w:color="auto" w:fill="auto"/>
              <w:spacing w:line="254" w:lineRule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юридических лиц, контролирующих иностранное лицо</w:t>
            </w:r>
          </w:p>
        </w:tc>
        <w:tc>
          <w:tcPr>
            <w:tcW w:w="7365" w:type="dxa"/>
            <w:vAlign w:val="bottom"/>
          </w:tcPr>
          <w:p w:rsidR="00B53F2C" w:rsidRPr="001537B6" w:rsidRDefault="00B53F2C" w:rsidP="00F3062D">
            <w:pPr>
              <w:pStyle w:val="ab"/>
              <w:shd w:val="clear" w:color="auto" w:fill="auto"/>
              <w:spacing w:line="257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Документ, подтверждающий создание (учреждение) иностранного лица (для каждого лица в цепочке).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spacing w:line="257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Такими документами, в частности, могут быть: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9"/>
              </w:numPr>
              <w:shd w:val="clear" w:color="auto" w:fill="auto"/>
              <w:tabs>
                <w:tab w:val="left" w:pos="3084"/>
                <w:tab w:val="left" w:pos="3582"/>
              </w:tabs>
              <w:spacing w:line="257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Свидетельство/сертификат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о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регистрации (инкорпорации);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9"/>
              </w:numPr>
              <w:shd w:val="clear" w:color="auto" w:fill="auto"/>
              <w:spacing w:line="257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Выписка из государственного реестра/торговой палаты. 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9"/>
              </w:numPr>
              <w:shd w:val="clear" w:color="auto" w:fill="auto"/>
              <w:spacing w:line="257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Иные аналогичные документы, содержащие информацию о месте учреждения организации.</w:t>
            </w:r>
          </w:p>
        </w:tc>
      </w:tr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4.2.</w:t>
            </w:r>
          </w:p>
        </w:tc>
        <w:tc>
          <w:tcPr>
            <w:tcW w:w="1985" w:type="dxa"/>
            <w:vAlign w:val="bottom"/>
          </w:tcPr>
          <w:p w:rsidR="00B53F2C" w:rsidRPr="001537B6" w:rsidRDefault="00B53F2C" w:rsidP="00F3062D">
            <w:pPr>
              <w:pStyle w:val="ab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физических лиц, контролирующих иностранное лицо</w:t>
            </w:r>
          </w:p>
        </w:tc>
        <w:tc>
          <w:tcPr>
            <w:tcW w:w="7365" w:type="dxa"/>
          </w:tcPr>
          <w:p w:rsidR="00B53F2C" w:rsidRPr="001537B6" w:rsidRDefault="00B53F2C" w:rsidP="00B53F2C">
            <w:pPr>
              <w:pStyle w:val="ab"/>
              <w:numPr>
                <w:ilvl w:val="0"/>
                <w:numId w:val="8"/>
              </w:numPr>
              <w:shd w:val="clear" w:color="auto" w:fill="auto"/>
              <w:tabs>
                <w:tab w:val="left" w:pos="277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Документы, подтверждающие гражданство.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8"/>
              </w:numPr>
              <w:shd w:val="clear" w:color="auto" w:fill="auto"/>
              <w:tabs>
                <w:tab w:val="left" w:pos="303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Вид на жительство в РФ (при наличии).</w:t>
            </w:r>
          </w:p>
        </w:tc>
      </w:tr>
      <w:tr w:rsidR="00B53F2C" w:rsidRPr="001537B6" w:rsidTr="00F3062D">
        <w:tc>
          <w:tcPr>
            <w:tcW w:w="10054" w:type="dxa"/>
            <w:gridSpan w:val="3"/>
            <w:vAlign w:val="bottom"/>
          </w:tcPr>
          <w:p w:rsidR="00B53F2C" w:rsidRPr="001537B6" w:rsidRDefault="00B53F2C" w:rsidP="00F3062D">
            <w:pPr>
              <w:pStyle w:val="ab"/>
              <w:shd w:val="clear" w:color="auto" w:fill="auto"/>
              <w:jc w:val="both"/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В отношении Российских юридических лиц и физических лиц- граждан Российской Федерации, которые являются контролирующими лицами иностранного лица на основании документов, указанных в п. 3 Перечня:</w:t>
            </w:r>
          </w:p>
        </w:tc>
      </w:tr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757"/>
              </w:tabs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985" w:type="dxa"/>
          </w:tcPr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757"/>
              </w:tabs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подтверждения, что указанные Российские юридические лица не находятся под контролем иностранных лиц</w:t>
            </w:r>
          </w:p>
        </w:tc>
        <w:tc>
          <w:tcPr>
            <w:tcW w:w="7365" w:type="dxa"/>
          </w:tcPr>
          <w:p w:rsidR="00B53F2C" w:rsidRPr="001537B6" w:rsidRDefault="00B53F2C" w:rsidP="00F3062D">
            <w:pPr>
              <w:pStyle w:val="ab"/>
              <w:shd w:val="clear" w:color="auto" w:fill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1. Письмо заверение (по Форме 1. Письмо-</w:t>
            </w:r>
            <w:proofErr w:type="spellStart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заверение_для</w:t>
            </w:r>
            <w:proofErr w:type="spellEnd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всех, кроме ПАО - приложение 1 к настоящему перечню, </w:t>
            </w:r>
            <w:r w:rsidRPr="001537B6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  <w:u w:val="single"/>
              </w:rPr>
              <w:t>подписывается клиентом/зарегистрированным лицом</w:t>
            </w:r>
            <w:r w:rsidRPr="001537B6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</w:rPr>
              <w:t>)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, к которому приобщается: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0"/>
              </w:numPr>
              <w:shd w:val="clear" w:color="auto" w:fill="auto"/>
              <w:tabs>
                <w:tab w:val="left" w:pos="447"/>
              </w:tabs>
              <w:spacing w:after="6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Структура собственности (состав и структура акционеров (участников), с раскрытием всей цепочки владения до конечных владельцев (бенефициаров) (в произвольной форме (схема, таблица);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0"/>
              </w:numPr>
              <w:shd w:val="clear" w:color="auto" w:fill="auto"/>
              <w:tabs>
                <w:tab w:val="left" w:pos="362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Выписка из ЕГРЮЛ для ООО и АО с единственным акционером (если на момент предоставления документа сведения о единственном акционере отражены в ЕГРЮЛ) в отношении каждого лица в структуре собственности.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0"/>
              </w:numPr>
              <w:shd w:val="clear" w:color="auto" w:fill="auto"/>
              <w:tabs>
                <w:tab w:val="left" w:pos="362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Список владельцев ценных бумаг для непубличных АО (получателем Списка выступает АО-эмитент, Список выдается держателем реестра АО).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spacing w:line="226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2. Для ПАО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spacing w:line="226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2 1. Письмо –заверение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(по Форме 2. Письмо-</w:t>
            </w:r>
            <w:proofErr w:type="spellStart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заверение_для</w:t>
            </w:r>
            <w:proofErr w:type="spellEnd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ПАО - приложение 2 к настоящему перечню)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для ПАО 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(подписывается ПАО),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к которому приобщаются: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1"/>
              </w:numPr>
              <w:shd w:val="clear" w:color="auto" w:fill="auto"/>
              <w:tabs>
                <w:tab w:val="left" w:pos="377"/>
              </w:tabs>
              <w:spacing w:line="226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Отчет эмитента за последний отчетный период, предшествующий дате письма-заверения;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Структура собственности (дополнительно, при наличии – в произвольной форме (схема, таблица).</w:t>
            </w:r>
          </w:p>
        </w:tc>
      </w:tr>
      <w:tr w:rsidR="00B53F2C" w:rsidRPr="001537B6" w:rsidTr="00F3062D">
        <w:tc>
          <w:tcPr>
            <w:tcW w:w="704" w:type="dxa"/>
          </w:tcPr>
          <w:p w:rsidR="00B53F2C" w:rsidRPr="001537B6" w:rsidRDefault="00B53F2C" w:rsidP="00F3062D">
            <w:pP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53F2C" w:rsidRPr="001537B6" w:rsidRDefault="00B53F2C" w:rsidP="00F3062D">
            <w:pP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Документы, подтверждающие гражданство РФ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lastRenderedPageBreak/>
              <w:t>физических лиц</w:t>
            </w:r>
          </w:p>
        </w:tc>
        <w:tc>
          <w:tcPr>
            <w:tcW w:w="7365" w:type="dxa"/>
          </w:tcPr>
          <w:p w:rsidR="00B53F2C" w:rsidRPr="001537B6" w:rsidRDefault="00B53F2C" w:rsidP="00F3062D">
            <w:pP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lastRenderedPageBreak/>
              <w:t>1. паспорт гражданина Российской Федерации.</w:t>
            </w:r>
          </w:p>
        </w:tc>
      </w:tr>
    </w:tbl>
    <w:p w:rsidR="00B53F2C" w:rsidRPr="001537B6" w:rsidRDefault="00B53F2C" w:rsidP="00B53F2C">
      <w:pPr>
        <w:rPr>
          <w:rFonts w:ascii="Proxima Nova ExCn Rg" w:hAnsi="Proxima Nova ExCn Rg"/>
          <w:color w:val="000000" w:themeColor="text1"/>
          <w:sz w:val="28"/>
          <w:szCs w:val="28"/>
          <w:lang w:bidi="ru-RU"/>
        </w:rPr>
      </w:pPr>
      <w:r w:rsidRPr="001537B6">
        <w:rPr>
          <w:rFonts w:ascii="Proxima Nova ExCn Rg" w:hAnsi="Proxima Nova ExCn Rg"/>
          <w:b/>
          <w:iCs/>
          <w:color w:val="000000" w:themeColor="text1"/>
          <w:sz w:val="28"/>
          <w:szCs w:val="28"/>
          <w:lang w:bidi="ru-RU"/>
        </w:rPr>
        <w:t>Перечень документов, предоставляемых в отношении ценных бумаг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0"/>
        <w:gridCol w:w="7620"/>
      </w:tblGrid>
      <w:tr w:rsidR="00B53F2C" w:rsidRPr="001537B6" w:rsidTr="00F3062D">
        <w:trPr>
          <w:trHeight w:hRule="exact" w:val="262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3F2C" w:rsidRPr="001537B6" w:rsidRDefault="00B53F2C" w:rsidP="00F3062D">
            <w:pPr>
              <w:pStyle w:val="ab"/>
              <w:shd w:val="clear" w:color="auto" w:fill="auto"/>
              <w:tabs>
                <w:tab w:val="right" w:pos="2190"/>
              </w:tabs>
              <w:spacing w:line="233" w:lineRule="auto"/>
              <w:ind w:left="128" w:right="164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Если ценные бумаги приобретены до 22.02.2022 или 01.03.2022 в соответствии с Указами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ab/>
              <w:t>Президента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spacing w:line="233" w:lineRule="auto"/>
              <w:ind w:left="128" w:right="164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включительно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375"/>
              </w:tabs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1.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Выписка (отчет, справка) о движении ценных бумаг из предыдущего места хранения ценных бумаг за период с даты приобретения ценных бумаг по дату, предшествующую дате направления Регистратору распоряжения на совершение операции, подтверждающая, что бумаги были приобретены до 22.02.2022 или 01.03.2022 в соответствии с Указами Президента включительно и после указанной даты операции с данными ценными бумагами не проводились.</w:t>
            </w:r>
          </w:p>
        </w:tc>
      </w:tr>
      <w:tr w:rsidR="00B53F2C" w:rsidRPr="001537B6" w:rsidTr="00F3062D">
        <w:trPr>
          <w:trHeight w:hRule="exact" w:val="511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1707"/>
              </w:tabs>
              <w:spacing w:line="228" w:lineRule="auto"/>
              <w:ind w:left="128" w:right="164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Если ценные бумаги приобретены после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453"/>
                <w:tab w:val="left" w:pos="2096"/>
              </w:tabs>
              <w:spacing w:line="228" w:lineRule="auto"/>
              <w:ind w:left="128" w:right="164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22.02.2022 или 01.03.2022 в соответствии с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spacing w:line="228" w:lineRule="auto"/>
              <w:ind w:left="128" w:right="164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eastAsia="ru-RU" w:bidi="ru-RU"/>
              </w:rPr>
              <w:t>Указами Президента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2C" w:rsidRPr="001537B6" w:rsidRDefault="00B53F2C" w:rsidP="00F3062D">
            <w:pPr>
              <w:pStyle w:val="ab"/>
              <w:shd w:val="clear" w:color="auto" w:fill="auto"/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1.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(Комплект документов на владельцев ценных бумаг по всей цепочке (в составе, определенном для соответствующего лица в п. 1 и 2 настоящего Перечня Подтверждающих документов).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tabs>
                <w:tab w:val="left" w:pos="888"/>
                <w:tab w:val="left" w:pos="2549"/>
                <w:tab w:val="left" w:pos="3743"/>
              </w:tabs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2. Отчеты номинальных держателей (депозитариев)/ предыдущих регистраторов по каждой операции в цепочке сделок с ценными бумагами.</w:t>
            </w:r>
          </w:p>
          <w:p w:rsidR="00B53F2C" w:rsidRPr="001537B6" w:rsidRDefault="00B53F2C" w:rsidP="00F3062D">
            <w:pPr>
              <w:pStyle w:val="ab"/>
              <w:shd w:val="clear" w:color="auto" w:fill="auto"/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Также могут быть предоставлены: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440"/>
              </w:tabs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договоры купли-продажи пенных бумаг;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444"/>
              </w:tabs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отчеты брокера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val="en-US" w:eastAsia="ru-RU" w:bidi="ru-RU"/>
              </w:rPr>
              <w:t>;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444"/>
              </w:tabs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заверения номинального держателя (депозитария) по сделкам, которые совершаются в один день (день проведения операции) по нескольким лицевыми счетам зарегистрированных лиц (последовательные переводы одной и той же ценной бумаги).</w:t>
            </w:r>
          </w:p>
          <w:p w:rsidR="00B53F2C" w:rsidRPr="001537B6" w:rsidRDefault="00B53F2C" w:rsidP="00B53F2C">
            <w:pPr>
              <w:pStyle w:val="ab"/>
              <w:numPr>
                <w:ilvl w:val="0"/>
                <w:numId w:val="12"/>
              </w:numPr>
              <w:shd w:val="clear" w:color="auto" w:fill="auto"/>
              <w:tabs>
                <w:tab w:val="left" w:pos="444"/>
              </w:tabs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>письмо-подтверждение номинального держателя/ регистратора, из которого переводятся ценные бумаги, о том, что переводимые ценные бумаги не требуют обособления;</w:t>
            </w:r>
          </w:p>
        </w:tc>
      </w:tr>
    </w:tbl>
    <w:p w:rsidR="00B53F2C" w:rsidRPr="001537B6" w:rsidRDefault="00B53F2C" w:rsidP="00B53F2C">
      <w:pPr>
        <w:pStyle w:val="11"/>
        <w:shd w:val="clear" w:color="auto" w:fill="auto"/>
        <w:tabs>
          <w:tab w:val="left" w:pos="495"/>
        </w:tabs>
        <w:ind w:firstLine="0"/>
        <w:jc w:val="both"/>
        <w:rPr>
          <w:rFonts w:ascii="Proxima Nova ExCn Rg" w:hAnsi="Proxima Nova ExCn Rg"/>
          <w:color w:val="000000" w:themeColor="text1"/>
          <w:sz w:val="28"/>
          <w:szCs w:val="28"/>
          <w:lang w:eastAsia="ru-RU" w:bidi="ru-RU"/>
        </w:rPr>
      </w:pPr>
      <w:r w:rsidRPr="001537B6">
        <w:rPr>
          <w:rFonts w:ascii="Proxima Nova ExCn Rg" w:hAnsi="Proxima Nova ExCn Rg"/>
          <w:color w:val="000000" w:themeColor="text1"/>
          <w:sz w:val="28"/>
          <w:szCs w:val="28"/>
          <w:lang w:eastAsia="ru-RU" w:bidi="ru-RU"/>
        </w:rPr>
        <w:t>При каждой последующей операции, за исключением операций с ценными бумагами по Указу № 138, зарегистрированное лицо предоставляет Регистратору письмо-Заявление, о том, что сведения в ранее предоставленных документах не изменялись и актуальны на дату предоставления письма.</w:t>
      </w:r>
    </w:p>
    <w:p w:rsidR="00890FC4" w:rsidRDefault="00B0177C"/>
    <w:sectPr w:rsidR="00890FC4" w:rsidSect="00812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7C" w:rsidRDefault="00B0177C" w:rsidP="00812D90">
      <w:r>
        <w:separator/>
      </w:r>
    </w:p>
  </w:endnote>
  <w:endnote w:type="continuationSeparator" w:id="0">
    <w:p w:rsidR="00B0177C" w:rsidRDefault="00B0177C" w:rsidP="0081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0" w:rsidRDefault="00812D9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671324"/>
      <w:docPartObj>
        <w:docPartGallery w:val="Page Numbers (Bottom of Page)"/>
        <w:docPartUnique/>
      </w:docPartObj>
    </w:sdtPr>
    <w:sdtContent>
      <w:bookmarkStart w:id="0" w:name="_GoBack" w:displacedByCustomXml="prev"/>
      <w:p w:rsidR="00812D90" w:rsidRDefault="00812D90">
        <w:pPr>
          <w:pStyle w:val="af0"/>
          <w:jc w:val="right"/>
        </w:pPr>
        <w:r w:rsidRPr="00812D90">
          <w:rPr>
            <w:rFonts w:ascii="Proxima Nova ExCn Rg" w:hAnsi="Proxima Nova ExCn Rg"/>
            <w:sz w:val="20"/>
            <w:szCs w:val="20"/>
          </w:rPr>
          <w:fldChar w:fldCharType="begin"/>
        </w:r>
        <w:r w:rsidRPr="00812D90">
          <w:rPr>
            <w:rFonts w:ascii="Proxima Nova ExCn Rg" w:hAnsi="Proxima Nova ExCn Rg"/>
            <w:sz w:val="20"/>
            <w:szCs w:val="20"/>
          </w:rPr>
          <w:instrText>PAGE   \* MERGEFORMAT</w:instrText>
        </w:r>
        <w:r w:rsidRPr="00812D90">
          <w:rPr>
            <w:rFonts w:ascii="Proxima Nova ExCn Rg" w:hAnsi="Proxima Nova ExCn Rg"/>
            <w:sz w:val="20"/>
            <w:szCs w:val="20"/>
          </w:rPr>
          <w:fldChar w:fldCharType="separate"/>
        </w:r>
        <w:r>
          <w:rPr>
            <w:rFonts w:ascii="Proxima Nova ExCn Rg" w:hAnsi="Proxima Nova ExCn Rg"/>
            <w:noProof/>
            <w:sz w:val="20"/>
            <w:szCs w:val="20"/>
          </w:rPr>
          <w:t>2</w:t>
        </w:r>
        <w:r w:rsidRPr="00812D90">
          <w:rPr>
            <w:rFonts w:ascii="Proxima Nova ExCn Rg" w:hAnsi="Proxima Nova ExCn Rg"/>
            <w:sz w:val="20"/>
            <w:szCs w:val="20"/>
          </w:rPr>
          <w:fldChar w:fldCharType="end"/>
        </w:r>
      </w:p>
      <w:bookmarkEnd w:id="0" w:displacedByCustomXml="next"/>
    </w:sdtContent>
  </w:sdt>
  <w:p w:rsidR="00812D90" w:rsidRDefault="00812D9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0" w:rsidRDefault="00812D9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7C" w:rsidRDefault="00B0177C" w:rsidP="00812D90">
      <w:r>
        <w:separator/>
      </w:r>
    </w:p>
  </w:footnote>
  <w:footnote w:type="continuationSeparator" w:id="0">
    <w:p w:rsidR="00B0177C" w:rsidRDefault="00B0177C" w:rsidP="0081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0" w:rsidRDefault="00812D9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0" w:rsidRDefault="00812D9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90" w:rsidRDefault="00812D9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EF8"/>
    <w:multiLevelType w:val="multilevel"/>
    <w:tmpl w:val="185CF730"/>
    <w:lvl w:ilvl="0">
      <w:start w:val="1"/>
      <w:numFmt w:val="decimal"/>
      <w:lvlText w:val="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3F3A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D373A"/>
    <w:multiLevelType w:val="multilevel"/>
    <w:tmpl w:val="3904979E"/>
    <w:lvl w:ilvl="0">
      <w:start w:val="1"/>
      <w:numFmt w:val="decimal"/>
      <w:lvlText w:val="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F5116"/>
    <w:multiLevelType w:val="hybridMultilevel"/>
    <w:tmpl w:val="D94E3CDC"/>
    <w:lvl w:ilvl="0" w:tplc="7CD6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50415"/>
    <w:multiLevelType w:val="multilevel"/>
    <w:tmpl w:val="70B08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3A205C"/>
    <w:multiLevelType w:val="multilevel"/>
    <w:tmpl w:val="587CE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784AF9"/>
    <w:multiLevelType w:val="multilevel"/>
    <w:tmpl w:val="53125206"/>
    <w:lvl w:ilvl="0">
      <w:start w:val="1"/>
      <w:numFmt w:val="decimal"/>
      <w:lvlText w:val="1.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403B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1D140C"/>
    <w:multiLevelType w:val="multilevel"/>
    <w:tmpl w:val="AC40C0B4"/>
    <w:lvl w:ilvl="0">
      <w:start w:val="2"/>
      <w:numFmt w:val="decimal"/>
      <w:lvlText w:val="2.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4A1F26"/>
    <w:multiLevelType w:val="hybridMultilevel"/>
    <w:tmpl w:val="694A9824"/>
    <w:lvl w:ilvl="0" w:tplc="7CD6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53A3A"/>
    <w:multiLevelType w:val="multilevel"/>
    <w:tmpl w:val="1518A886"/>
    <w:lvl w:ilvl="0">
      <w:start w:val="1"/>
      <w:numFmt w:val="decimal"/>
      <w:lvlText w:val="1.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AC4281"/>
    <w:multiLevelType w:val="multilevel"/>
    <w:tmpl w:val="800240C0"/>
    <w:lvl w:ilvl="0">
      <w:start w:val="1"/>
      <w:numFmt w:val="decimal"/>
      <w:lvlText w:val="1.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E3564C"/>
    <w:multiLevelType w:val="hybridMultilevel"/>
    <w:tmpl w:val="5D3E9174"/>
    <w:lvl w:ilvl="0" w:tplc="EC16BA5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357AC"/>
    <w:multiLevelType w:val="hybridMultilevel"/>
    <w:tmpl w:val="367810BC"/>
    <w:lvl w:ilvl="0" w:tplc="7CD6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E4E60"/>
    <w:multiLevelType w:val="multilevel"/>
    <w:tmpl w:val="FA1ED3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EB"/>
    <w:rsid w:val="00056C5F"/>
    <w:rsid w:val="00136377"/>
    <w:rsid w:val="00292887"/>
    <w:rsid w:val="004322EB"/>
    <w:rsid w:val="0044414D"/>
    <w:rsid w:val="005F6C90"/>
    <w:rsid w:val="00691B02"/>
    <w:rsid w:val="00812D90"/>
    <w:rsid w:val="00905722"/>
    <w:rsid w:val="009F495D"/>
    <w:rsid w:val="00B0177C"/>
    <w:rsid w:val="00B53F2C"/>
    <w:rsid w:val="00CB6D41"/>
    <w:rsid w:val="00E5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100E"/>
  <w15:chartTrackingRefBased/>
  <w15:docId w15:val="{B4D26989-FDCD-43C0-86A8-A672FCA7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F495D"/>
    <w:pPr>
      <w:keepNext/>
      <w:keepLines/>
      <w:spacing w:before="240"/>
      <w:outlineLvl w:val="0"/>
    </w:pPr>
    <w:rPr>
      <w:rFonts w:ascii="Proxima Nova" w:eastAsiaTheme="majorEastAsia" w:hAnsi="Proxima Nov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95D"/>
    <w:rPr>
      <w:rFonts w:ascii="Proxima Nova" w:eastAsiaTheme="majorEastAsia" w:hAnsi="Proxima Nova" w:cstheme="majorBidi"/>
      <w:color w:val="000000" w:themeColor="text1"/>
      <w:sz w:val="32"/>
      <w:szCs w:val="32"/>
    </w:rPr>
  </w:style>
  <w:style w:type="paragraph" w:styleId="a3">
    <w:name w:val="caption"/>
    <w:aliases w:val="Приложени 1"/>
    <w:basedOn w:val="a4"/>
    <w:autoRedefine/>
    <w:rsid w:val="00905722"/>
    <w:pPr>
      <w:contextualSpacing w:val="0"/>
      <w:jc w:val="right"/>
    </w:pPr>
    <w:rPr>
      <w:rFonts w:ascii="Proxima Nova ExCn Rg" w:eastAsia="Times New Roman" w:hAnsi="Proxima Nova ExCn Rg" w:cs="Times New Roman"/>
      <w:b/>
      <w:spacing w:val="0"/>
      <w:kern w:val="0"/>
      <w:sz w:val="28"/>
      <w:szCs w:val="20"/>
    </w:rPr>
  </w:style>
  <w:style w:type="paragraph" w:styleId="a4">
    <w:name w:val="Title"/>
    <w:basedOn w:val="a"/>
    <w:next w:val="a"/>
    <w:link w:val="a5"/>
    <w:uiPriority w:val="10"/>
    <w:qFormat/>
    <w:rsid w:val="009057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0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1"/>
    <w:next w:val="2"/>
    <w:link w:val="a7"/>
    <w:autoRedefine/>
    <w:uiPriority w:val="11"/>
    <w:qFormat/>
    <w:rsid w:val="00136377"/>
    <w:pPr>
      <w:keepNext w:val="0"/>
      <w:keepLines w:val="0"/>
      <w:numPr>
        <w:ilvl w:val="1"/>
      </w:numPr>
      <w:tabs>
        <w:tab w:val="left" w:pos="0"/>
        <w:tab w:val="left" w:pos="851"/>
        <w:tab w:val="left" w:pos="8505"/>
      </w:tabs>
      <w:spacing w:before="0" w:after="120"/>
      <w:outlineLvl w:val="1"/>
    </w:pPr>
    <w:rPr>
      <w:rFonts w:ascii="Proxima Nova ExCn Rg" w:eastAsiaTheme="minorEastAsia" w:hAnsi="Proxima Nova ExCn Rg" w:cstheme="minorBidi"/>
      <w:b/>
      <w:spacing w:val="15"/>
      <w:sz w:val="28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36377"/>
    <w:rPr>
      <w:rFonts w:ascii="Proxima Nova ExCn Rg" w:eastAsiaTheme="minorEastAsia" w:hAnsi="Proxima Nova ExCn Rg" w:cstheme="minorBidi"/>
      <w:b/>
      <w:color w:val="000000" w:themeColor="text1"/>
      <w:spacing w:val="15"/>
      <w:sz w:val="28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36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8">
    <w:name w:val="Основной текст_"/>
    <w:basedOn w:val="a0"/>
    <w:link w:val="11"/>
    <w:rsid w:val="00B53F2C"/>
    <w:rPr>
      <w:rFonts w:eastAsia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8"/>
    <w:rsid w:val="00B53F2C"/>
    <w:pPr>
      <w:shd w:val="clear" w:color="auto" w:fill="FFFFFF"/>
      <w:autoSpaceDE/>
      <w:autoSpaceDN/>
      <w:adjustRightInd/>
      <w:spacing w:after="120" w:line="259" w:lineRule="auto"/>
      <w:ind w:firstLine="40"/>
    </w:pPr>
    <w:rPr>
      <w:rFonts w:ascii="Times New Roman" w:hAnsi="Times New Roman" w:cs="Times New Roman"/>
      <w:sz w:val="17"/>
      <w:szCs w:val="17"/>
      <w:lang w:eastAsia="en-US"/>
    </w:rPr>
  </w:style>
  <w:style w:type="table" w:styleId="a9">
    <w:name w:val="Table Grid"/>
    <w:basedOn w:val="a1"/>
    <w:uiPriority w:val="39"/>
    <w:rsid w:val="00B5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Другое_"/>
    <w:basedOn w:val="a0"/>
    <w:link w:val="ab"/>
    <w:rsid w:val="00B53F2C"/>
    <w:rPr>
      <w:rFonts w:eastAsia="Times New Roman"/>
      <w:color w:val="403B2A"/>
      <w:sz w:val="18"/>
      <w:szCs w:val="18"/>
      <w:shd w:val="clear" w:color="auto" w:fill="FFFFFF"/>
    </w:rPr>
  </w:style>
  <w:style w:type="paragraph" w:customStyle="1" w:styleId="ab">
    <w:name w:val="Другое"/>
    <w:basedOn w:val="a"/>
    <w:link w:val="aa"/>
    <w:rsid w:val="00B53F2C"/>
    <w:pPr>
      <w:shd w:val="clear" w:color="auto" w:fill="FFFFFF"/>
      <w:autoSpaceDE/>
      <w:autoSpaceDN/>
      <w:adjustRightInd/>
    </w:pPr>
    <w:rPr>
      <w:rFonts w:ascii="Times New Roman" w:hAnsi="Times New Roman" w:cs="Times New Roman"/>
      <w:color w:val="403B2A"/>
      <w:sz w:val="18"/>
      <w:szCs w:val="18"/>
      <w:lang w:eastAsia="en-US"/>
    </w:rPr>
  </w:style>
  <w:style w:type="paragraph" w:styleId="ac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d"/>
    <w:uiPriority w:val="34"/>
    <w:qFormat/>
    <w:rsid w:val="00B53F2C"/>
    <w:pPr>
      <w:ind w:left="720"/>
      <w:contextualSpacing/>
    </w:pPr>
  </w:style>
  <w:style w:type="character" w:customStyle="1" w:styleId="ad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link w:val="ac"/>
    <w:uiPriority w:val="34"/>
    <w:qFormat/>
    <w:locked/>
    <w:rsid w:val="00B53F2C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12D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12D90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12D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12D9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Galina A.</dc:creator>
  <cp:keywords/>
  <dc:description/>
  <cp:lastModifiedBy>Petrova Galina A.</cp:lastModifiedBy>
  <cp:revision>5</cp:revision>
  <dcterms:created xsi:type="dcterms:W3CDTF">2024-02-01T18:03:00Z</dcterms:created>
  <dcterms:modified xsi:type="dcterms:W3CDTF">2024-02-01T18:06:00Z</dcterms:modified>
</cp:coreProperties>
</file>