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4C" w:rsidRPr="001537B6" w:rsidRDefault="006F684C" w:rsidP="006F684C">
      <w:pPr>
        <w:jc w:val="right"/>
        <w:rPr>
          <w:rFonts w:ascii="Proxima Nova ExCn Rg" w:eastAsiaTheme="minorHAnsi" w:hAnsi="Proxima Nova ExCn Rg" w:cs="Verdana,Bold"/>
          <w:b/>
          <w:bCs/>
          <w:color w:val="000000" w:themeColor="text1"/>
        </w:rPr>
      </w:pPr>
      <w:r w:rsidRPr="001537B6">
        <w:rPr>
          <w:rFonts w:ascii="Proxima Nova ExCn Rg" w:eastAsiaTheme="minorHAnsi" w:hAnsi="Proxima Nova ExCn Rg" w:cs="Verdana,Bold"/>
          <w:b/>
          <w:bCs/>
          <w:color w:val="000000" w:themeColor="text1"/>
        </w:rPr>
        <w:t xml:space="preserve">Форма </w:t>
      </w:r>
      <w:proofErr w:type="gramStart"/>
      <w:r w:rsidRPr="001537B6">
        <w:rPr>
          <w:rFonts w:ascii="Proxima Nova ExCn Rg" w:eastAsiaTheme="minorHAnsi" w:hAnsi="Proxima Nova ExCn Rg" w:cs="Verdana,Bold"/>
          <w:b/>
          <w:bCs/>
          <w:color w:val="000000" w:themeColor="text1"/>
        </w:rPr>
        <w:t>2.Письмо</w:t>
      </w:r>
      <w:proofErr w:type="gramEnd"/>
      <w:r w:rsidRPr="001537B6">
        <w:rPr>
          <w:rFonts w:ascii="Proxima Nova ExCn Rg" w:eastAsiaTheme="minorHAnsi" w:hAnsi="Proxima Nova ExCn Rg" w:cs="Verdana,Bold"/>
          <w:b/>
          <w:bCs/>
          <w:color w:val="000000" w:themeColor="text1"/>
        </w:rPr>
        <w:t>-заверение_для ПАО</w:t>
      </w:r>
    </w:p>
    <w:p w:rsidR="006F684C" w:rsidRPr="001537B6" w:rsidRDefault="006F684C" w:rsidP="006F684C">
      <w:pPr>
        <w:jc w:val="center"/>
        <w:rPr>
          <w:rFonts w:ascii="Proxima Nova ExCn Rg" w:hAnsi="Proxima Nova ExCn Rg"/>
          <w:b/>
          <w:color w:val="000000" w:themeColor="text1"/>
        </w:rPr>
      </w:pPr>
      <w:r w:rsidRPr="001537B6">
        <w:rPr>
          <w:rFonts w:ascii="Proxima Nova ExCn Rg" w:hAnsi="Proxima Nova ExCn Rg"/>
          <w:b/>
          <w:color w:val="000000" w:themeColor="text1"/>
        </w:rPr>
        <w:t>ПИСЬМО-ЗАВЕРЕНИЕ по состоянию на «__» _______ 202_ года</w:t>
      </w:r>
    </w:p>
    <w:p w:rsidR="006F684C" w:rsidRPr="001537B6" w:rsidRDefault="006F684C" w:rsidP="006F684C">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6F684C" w:rsidRPr="001537B6" w:rsidRDefault="006F684C" w:rsidP="00C71AE9">
      <w:pPr>
        <w:ind w:right="1700"/>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ОГРН, ИНН   </w:t>
      </w:r>
      <w:bookmarkStart w:id="0" w:name="_GoBack"/>
      <w:bookmarkEnd w:id="0"/>
      <w:r w:rsidRPr="001537B6">
        <w:rPr>
          <w:rFonts w:ascii="Proxima Nova ExCn Rg" w:hAnsi="Proxima Nova ExCn Rg" w:cstheme="minorHAnsi"/>
          <w:color w:val="000000" w:themeColor="text1"/>
        </w:rPr>
        <w:t>_____________________________________</w:t>
      </w:r>
    </w:p>
    <w:p w:rsidR="006F684C" w:rsidRPr="001537B6" w:rsidRDefault="006F684C" w:rsidP="006F684C">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rsidR="006F684C" w:rsidRPr="001537B6" w:rsidRDefault="006F684C" w:rsidP="006F684C">
      <w:pPr>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1. Организация:</w:t>
      </w:r>
    </w:p>
    <w:p w:rsidR="006F684C" w:rsidRPr="001537B6" w:rsidRDefault="00C71AE9" w:rsidP="006F684C">
      <w:pPr>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829494892"/>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не является</w:t>
      </w:r>
      <w:r w:rsidR="006F684C"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2078123326"/>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 xml:space="preserve">является </w:t>
      </w:r>
      <w:r w:rsidR="006F684C" w:rsidRPr="001537B6">
        <w:rPr>
          <w:rFonts w:ascii="Proxima Nova ExCn Rg" w:hAnsi="Proxima Nova ExCn Rg" w:cstheme="minorHAnsi"/>
          <w:b/>
          <w:i/>
          <w:color w:val="000000" w:themeColor="text1"/>
        </w:rPr>
        <w:t>(отметить нужное)</w:t>
      </w:r>
    </w:p>
    <w:p w:rsidR="006F684C" w:rsidRPr="001537B6" w:rsidRDefault="006F684C" w:rsidP="006F684C">
      <w:pPr>
        <w:widowControl/>
        <w:numPr>
          <w:ilvl w:val="0"/>
          <w:numId w:val="1"/>
        </w:numPr>
        <w:autoSpaceDE/>
        <w:autoSpaceDN/>
        <w:adjustRightInd/>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6F684C" w:rsidRPr="001537B6" w:rsidRDefault="00C71AE9" w:rsidP="006F684C">
      <w:pPr>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343827015"/>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не является</w:t>
      </w:r>
      <w:r w:rsidR="006F684C"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588150872"/>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 xml:space="preserve">является </w:t>
      </w:r>
      <w:r w:rsidR="006F684C" w:rsidRPr="001537B6">
        <w:rPr>
          <w:rFonts w:ascii="Proxima Nova ExCn Rg" w:hAnsi="Proxima Nova ExCn Rg" w:cstheme="minorHAnsi"/>
          <w:b/>
          <w:i/>
          <w:color w:val="000000" w:themeColor="text1"/>
        </w:rPr>
        <w:t>(отметить нужное)</w:t>
      </w:r>
    </w:p>
    <w:p w:rsidR="006F684C" w:rsidRPr="001537B6" w:rsidRDefault="006F684C" w:rsidP="006F68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6F684C" w:rsidRPr="001537B6" w:rsidRDefault="006F684C" w:rsidP="006F684C">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2. Контролирующее лицо организации:</w:t>
      </w:r>
    </w:p>
    <w:p w:rsidR="006F684C" w:rsidRPr="001537B6" w:rsidRDefault="00C71AE9" w:rsidP="006F684C">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817223093"/>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не является</w:t>
      </w:r>
      <w:r w:rsidR="006F684C"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50049434"/>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 xml:space="preserve">является </w:t>
      </w:r>
      <w:r w:rsidR="006F684C" w:rsidRPr="001537B6">
        <w:rPr>
          <w:rFonts w:ascii="Proxima Nova ExCn Rg" w:hAnsi="Proxima Nova ExCn Rg" w:cstheme="minorHAnsi"/>
          <w:b/>
          <w:i/>
          <w:color w:val="000000" w:themeColor="text1"/>
        </w:rPr>
        <w:t>(отметить нужное)</w:t>
      </w:r>
    </w:p>
    <w:p w:rsidR="006F684C" w:rsidRPr="001537B6" w:rsidRDefault="006F684C" w:rsidP="006F68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6F684C" w:rsidRPr="001537B6" w:rsidRDefault="00C71AE9" w:rsidP="006F684C">
      <w:pPr>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2008438230"/>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не является</w:t>
      </w:r>
      <w:r w:rsidR="006F684C"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2135743196"/>
          <w14:checkbox>
            <w14:checked w14:val="0"/>
            <w14:checkedState w14:val="2612" w14:font="MS Gothic"/>
            <w14:uncheckedState w14:val="2610" w14:font="MS Gothic"/>
          </w14:checkbox>
        </w:sdtPr>
        <w:sdtEndPr/>
        <w:sdtContent>
          <w:r w:rsidR="006F684C" w:rsidRPr="001537B6">
            <w:rPr>
              <w:rFonts w:ascii="Proxima Nova ExCn Rg" w:eastAsia="MS Gothic" w:hAnsi="Proxima Nova ExCn Rg" w:cs="Segoe UI Symbol"/>
              <w:color w:val="000000" w:themeColor="text1"/>
            </w:rPr>
            <w:t>☐</w:t>
          </w:r>
        </w:sdtContent>
      </w:sdt>
      <w:r w:rsidR="006F684C" w:rsidRPr="001537B6">
        <w:rPr>
          <w:rFonts w:ascii="Proxima Nova ExCn Rg" w:hAnsi="Proxima Nova ExCn Rg" w:cstheme="minorHAnsi"/>
          <w:color w:val="000000" w:themeColor="text1"/>
        </w:rPr>
        <w:t xml:space="preserve"> - </w:t>
      </w:r>
      <w:r w:rsidR="006F684C" w:rsidRPr="001537B6">
        <w:rPr>
          <w:rFonts w:ascii="Proxima Nova ExCn Rg" w:hAnsi="Proxima Nova ExCn Rg" w:cstheme="minorHAnsi"/>
          <w:b/>
          <w:color w:val="000000" w:themeColor="text1"/>
        </w:rPr>
        <w:t xml:space="preserve">является </w:t>
      </w:r>
      <w:r w:rsidR="006F684C" w:rsidRPr="001537B6">
        <w:rPr>
          <w:rFonts w:ascii="Proxima Nova ExCn Rg" w:hAnsi="Proxima Nova ExCn Rg" w:cstheme="minorHAnsi"/>
          <w:b/>
          <w:i/>
          <w:color w:val="000000" w:themeColor="text1"/>
        </w:rPr>
        <w:t>(отметить нужное)</w:t>
      </w:r>
    </w:p>
    <w:p w:rsidR="006F684C" w:rsidRPr="001537B6" w:rsidRDefault="006F684C" w:rsidP="006F684C">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6F684C" w:rsidRPr="001537B6" w:rsidRDefault="006F684C" w:rsidP="006F684C">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rsidR="006F684C" w:rsidRPr="001537B6" w:rsidRDefault="006F684C" w:rsidP="006F684C">
      <w:pPr>
        <w:pStyle w:val="a8"/>
        <w:widowControl/>
        <w:numPr>
          <w:ilvl w:val="0"/>
          <w:numId w:val="3"/>
        </w:numPr>
        <w:tabs>
          <w:tab w:val="left" w:pos="284"/>
        </w:tabs>
        <w:spacing w:after="120"/>
        <w:ind w:left="0" w:firstLine="0"/>
        <w:contextualSpacing w:val="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 Перечень </w:t>
      </w:r>
      <w:proofErr w:type="spellStart"/>
      <w:r w:rsidRPr="001537B6">
        <w:rPr>
          <w:rFonts w:ascii="Proxima Nova ExCn Rg" w:hAnsi="Proxima Nova ExCn Rg" w:cstheme="minorHAnsi"/>
          <w:b/>
          <w:color w:val="000000" w:themeColor="text1"/>
        </w:rPr>
        <w:t>бенефициарных</w:t>
      </w:r>
      <w:proofErr w:type="spellEnd"/>
      <w:r w:rsidRPr="001537B6">
        <w:rPr>
          <w:rFonts w:ascii="Proxima Nova ExCn Rg" w:hAnsi="Proxima Nova ExCn Rg" w:cstheme="minorHAnsi"/>
          <w:b/>
          <w:color w:val="000000" w:themeColor="text1"/>
        </w:rPr>
        <w:t xml:space="preserve"> владельцев организации.</w:t>
      </w:r>
    </w:p>
    <w:p w:rsidR="006F684C" w:rsidRPr="001537B6" w:rsidRDefault="006F684C" w:rsidP="006F684C">
      <w:pPr>
        <w:pStyle w:val="a8"/>
        <w:tabs>
          <w:tab w:val="left" w:pos="284"/>
        </w:tabs>
        <w:spacing w:after="120"/>
        <w:ind w:left="0"/>
        <w:contextualSpacing w:val="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88"/>
        <w:gridCol w:w="2551"/>
        <w:gridCol w:w="2410"/>
        <w:gridCol w:w="2835"/>
      </w:tblGrid>
      <w:tr w:rsidR="006F684C" w:rsidRPr="001537B6" w:rsidTr="00F3062D">
        <w:trPr>
          <w:trHeight w:hRule="exact" w:val="1758"/>
        </w:trPr>
        <w:tc>
          <w:tcPr>
            <w:tcW w:w="534" w:type="dxa"/>
            <w:tcBorders>
              <w:top w:val="single" w:sz="4" w:space="0" w:color="auto"/>
              <w:left w:val="single" w:sz="4" w:space="0" w:color="auto"/>
              <w:bottom w:val="single" w:sz="4" w:space="0" w:color="auto"/>
              <w:right w:val="single" w:sz="4" w:space="0" w:color="auto"/>
            </w:tcBorders>
          </w:tcPr>
          <w:p w:rsidR="006F684C" w:rsidRPr="001537B6" w:rsidRDefault="006F684C"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п/п</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84C" w:rsidRPr="001537B6" w:rsidRDefault="006F684C" w:rsidP="00F3062D">
            <w:pPr>
              <w:jc w:val="center"/>
              <w:rPr>
                <w:rFonts w:ascii="Proxima Nova ExCn Rg" w:eastAsia="SimSun" w:hAnsi="Proxima Nova ExCn Rg" w:cstheme="minorHAnsi"/>
                <w:color w:val="000000" w:themeColor="text1"/>
                <w:lang w:val="en-GB"/>
              </w:rPr>
            </w:pPr>
            <w:r w:rsidRPr="001537B6">
              <w:rPr>
                <w:rFonts w:ascii="Proxima Nova ExCn Rg" w:eastAsia="SimSun" w:hAnsi="Proxima Nova ExCn Rg" w:cstheme="minorHAnsi"/>
                <w:color w:val="000000" w:themeColor="text1"/>
                <w:lang w:val="en-GB"/>
              </w:rPr>
              <w:t>ФИО</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84C" w:rsidRPr="001537B6" w:rsidRDefault="006F684C" w:rsidP="00F3062D">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 xml:space="preserve"> Наименование, номер, серия документа, удостоверяющего личность</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84C" w:rsidRPr="001537B6" w:rsidRDefault="006F684C" w:rsidP="00F3062D">
            <w:pPr>
              <w:jc w:val="center"/>
              <w:rPr>
                <w:rFonts w:ascii="Proxima Nova ExCn Rg" w:eastAsia="SimSun" w:hAnsi="Proxima Nova ExCn Rg" w:cstheme="minorHAnsi"/>
                <w:i/>
                <w:color w:val="000000" w:themeColor="text1"/>
              </w:rPr>
            </w:pPr>
            <w:r w:rsidRPr="001537B6">
              <w:rPr>
                <w:rFonts w:ascii="Proxima Nova ExCn Rg" w:eastAsia="SimSun" w:hAnsi="Proxima Nova ExCn Rg" w:cstheme="minorHAnsi"/>
                <w:color w:val="000000" w:themeColor="text1"/>
              </w:rPr>
              <w:t>Гражданство</w:t>
            </w:r>
            <w:r w:rsidRPr="001537B6">
              <w:rPr>
                <w:rFonts w:ascii="Proxima Nova ExCn Rg" w:eastAsia="SimSun" w:hAnsi="Proxima Nova ExCn Rg" w:cstheme="minorHAnsi"/>
                <w:color w:val="000000" w:themeColor="text1"/>
              </w:rPr>
              <w:br/>
              <w:t>(в обязательном порядке указываются все имеющиеся гражданства)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84C" w:rsidRPr="001537B6" w:rsidRDefault="006F684C" w:rsidP="00F3062D">
            <w:pPr>
              <w:pStyle w:val="ConsPlusNormal"/>
              <w:tabs>
                <w:tab w:val="left" w:pos="851"/>
              </w:tabs>
              <w:jc w:val="both"/>
              <w:rPr>
                <w:rFonts w:ascii="Proxima Nova ExCn Rg" w:eastAsia="Times New Roman" w:hAnsi="Proxima Nova ExCn Rg" w:cstheme="minorHAnsi"/>
                <w:color w:val="000000" w:themeColor="text1"/>
                <w:sz w:val="24"/>
                <w:szCs w:val="24"/>
                <w:lang w:eastAsia="ru-RU"/>
              </w:rPr>
            </w:pPr>
            <w:r w:rsidRPr="001537B6">
              <w:rPr>
                <w:rFonts w:ascii="Proxima Nova ExCn Rg" w:eastAsia="Times New Roman" w:hAnsi="Proxima Nova ExCn Rg" w:cstheme="minorHAnsi"/>
                <w:color w:val="000000" w:themeColor="text1"/>
                <w:sz w:val="24"/>
                <w:szCs w:val="24"/>
                <w:lang w:eastAsia="ru-RU"/>
              </w:rPr>
              <w:t>Основания, в соответствии с которыми лицо признано конечным владельцем</w:t>
            </w:r>
          </w:p>
          <w:p w:rsidR="006F684C" w:rsidRPr="001537B6" w:rsidRDefault="006F684C" w:rsidP="00F3062D">
            <w:pPr>
              <w:jc w:val="center"/>
              <w:rPr>
                <w:rFonts w:ascii="Proxima Nova ExCn Rg" w:eastAsia="SimSun" w:hAnsi="Proxima Nova ExCn Rg" w:cstheme="minorHAnsi"/>
                <w:b/>
                <w:color w:val="000000" w:themeColor="text1"/>
              </w:rPr>
            </w:pPr>
          </w:p>
        </w:tc>
      </w:tr>
      <w:tr w:rsidR="006F684C" w:rsidRPr="001537B6" w:rsidTr="00F3062D">
        <w:trPr>
          <w:trHeight w:hRule="exact" w:val="227"/>
        </w:trPr>
        <w:tc>
          <w:tcPr>
            <w:tcW w:w="534" w:type="dxa"/>
            <w:tcBorders>
              <w:top w:val="single" w:sz="4" w:space="0" w:color="auto"/>
              <w:left w:val="single" w:sz="4" w:space="0" w:color="auto"/>
              <w:bottom w:val="single" w:sz="4" w:space="0" w:color="auto"/>
              <w:right w:val="single" w:sz="4" w:space="0" w:color="auto"/>
            </w:tcBorders>
          </w:tcPr>
          <w:p w:rsidR="006F684C" w:rsidRPr="001537B6" w:rsidRDefault="006F684C"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r w:rsidRPr="001537B6">
              <w:rPr>
                <w:rFonts w:ascii="Proxima Nova ExCn Rg" w:eastAsia="SimSun" w:hAnsi="Proxima Nova ExCn Rg" w:cstheme="minorHAnsi"/>
                <w:color w:val="000000" w:themeColor="text1"/>
              </w:rPr>
              <w:t>5</w:t>
            </w:r>
          </w:p>
        </w:tc>
      </w:tr>
      <w:tr w:rsidR="006F684C" w:rsidRPr="001537B6" w:rsidTr="00F3062D">
        <w:trPr>
          <w:trHeight w:hRule="exact" w:val="227"/>
        </w:trPr>
        <w:tc>
          <w:tcPr>
            <w:tcW w:w="534" w:type="dxa"/>
            <w:tcBorders>
              <w:top w:val="single" w:sz="4" w:space="0" w:color="auto"/>
              <w:left w:val="single" w:sz="4" w:space="0" w:color="auto"/>
              <w:bottom w:val="single" w:sz="4" w:space="0" w:color="auto"/>
              <w:right w:val="single" w:sz="4" w:space="0" w:color="auto"/>
            </w:tcBorders>
          </w:tcPr>
          <w:p w:rsidR="006F684C" w:rsidRPr="001537B6" w:rsidRDefault="006F684C" w:rsidP="00F3062D">
            <w:pPr>
              <w:jc w:val="center"/>
              <w:rPr>
                <w:rFonts w:ascii="Proxima Nova ExCn Rg" w:hAnsi="Proxima Nova ExCn Rg" w:cstheme="minorHAnsi"/>
                <w:color w:val="000000" w:themeColor="text1"/>
                <w:lang w:val="en-US"/>
              </w:rPr>
            </w:pPr>
            <w:r w:rsidRPr="001537B6">
              <w:rPr>
                <w:rFonts w:ascii="Proxima Nova ExCn Rg" w:hAnsi="Proxima Nova ExCn Rg" w:cstheme="minorHAnsi"/>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F684C" w:rsidRPr="001537B6" w:rsidRDefault="006F684C" w:rsidP="00F3062D">
            <w:pPr>
              <w:jc w:val="center"/>
              <w:rPr>
                <w:rFonts w:ascii="Proxima Nova ExCn Rg" w:eastAsia="SimSun" w:hAnsi="Proxima Nova ExCn Rg" w:cstheme="minorHAnsi"/>
                <w:color w:val="000000" w:themeColor="text1"/>
              </w:rPr>
            </w:pPr>
          </w:p>
        </w:tc>
      </w:tr>
    </w:tbl>
    <w:p w:rsidR="006F684C" w:rsidRPr="001537B6" w:rsidRDefault="006F684C" w:rsidP="006F684C">
      <w:pP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Если </w:t>
      </w:r>
      <w:proofErr w:type="spellStart"/>
      <w:r w:rsidRPr="001537B6">
        <w:rPr>
          <w:rFonts w:ascii="Proxima Nova ExCn Rg" w:hAnsi="Proxima Nova ExCn Rg" w:cstheme="minorHAnsi"/>
          <w:color w:val="000000" w:themeColor="text1"/>
        </w:rPr>
        <w:t>бенефициарные</w:t>
      </w:r>
      <w:proofErr w:type="spellEnd"/>
      <w:r w:rsidRPr="001537B6">
        <w:rPr>
          <w:rFonts w:ascii="Proxima Nova ExCn Rg" w:hAnsi="Proxima Nova ExCn Rg" w:cstheme="minorHAnsi"/>
          <w:color w:val="000000" w:themeColor="text1"/>
        </w:rPr>
        <w:t xml:space="preserve"> владельцы отсутствуют на законном основании, то в поле ФИО необходимо указать «отсутствует».</w:t>
      </w:r>
    </w:p>
    <w:p w:rsidR="006F684C" w:rsidRPr="001537B6" w:rsidRDefault="006F684C" w:rsidP="006F684C">
      <w:pPr>
        <w:jc w:val="both"/>
        <w:rPr>
          <w:rFonts w:ascii="Proxima Nova ExCn Rg" w:hAnsi="Proxima Nova ExCn Rg" w:cstheme="minorHAnsi"/>
          <w:b/>
          <w:color w:val="000000" w:themeColor="text1"/>
        </w:rPr>
      </w:pPr>
    </w:p>
    <w:p w:rsidR="006F684C" w:rsidRPr="001537B6" w:rsidRDefault="006F684C" w:rsidP="006F684C">
      <w:pPr>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Примечание.</w:t>
      </w:r>
    </w:p>
    <w:p w:rsidR="006F684C" w:rsidRPr="001537B6" w:rsidRDefault="006F684C" w:rsidP="006F684C">
      <w:pPr>
        <w:tabs>
          <w:tab w:val="left" w:pos="851"/>
        </w:tabs>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п.1 и п.2 и 2.1. статьи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F684C" w:rsidRPr="001537B6" w:rsidRDefault="006F684C" w:rsidP="006F684C">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6F684C" w:rsidRPr="001537B6" w:rsidRDefault="006F684C" w:rsidP="006F684C">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6F684C" w:rsidRPr="001537B6" w:rsidRDefault="006F684C" w:rsidP="006F684C">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6F684C" w:rsidRPr="001537B6" w:rsidRDefault="006F684C" w:rsidP="006F684C">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6F684C" w:rsidRPr="001537B6" w:rsidRDefault="006F684C" w:rsidP="006F684C">
      <w:pPr>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6F684C" w:rsidRPr="001537B6" w:rsidRDefault="006F684C" w:rsidP="006F684C">
      <w:pPr>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6F684C" w:rsidRPr="001537B6" w:rsidRDefault="006F684C" w:rsidP="006F684C">
      <w:pPr>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В случае, если выбрано основание контроля по </w:t>
      </w:r>
      <w:proofErr w:type="spellStart"/>
      <w:r w:rsidRPr="001537B6">
        <w:rPr>
          <w:rFonts w:ascii="Proxima Nova ExCn Rg" w:hAnsi="Proxima Nova ExCn Rg" w:cstheme="minorHAnsi"/>
          <w:color w:val="000000" w:themeColor="text1"/>
        </w:rPr>
        <w:t>п.п</w:t>
      </w:r>
      <w:proofErr w:type="spellEnd"/>
      <w:r w:rsidRPr="001537B6">
        <w:rPr>
          <w:rFonts w:ascii="Proxima Nova ExCn Rg" w:hAnsi="Proxima Nova ExCn Rg" w:cstheme="minorHAnsi"/>
          <w:color w:val="000000" w:themeColor="text1"/>
        </w:rPr>
        <w:t>. 2)-6),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rsidR="006F684C" w:rsidRPr="001537B6" w:rsidRDefault="006F684C" w:rsidP="006F684C">
      <w:pPr>
        <w:ind w:firstLine="539"/>
        <w:jc w:val="both"/>
        <w:rPr>
          <w:rFonts w:ascii="Proxima Nova ExCn Rg" w:hAnsi="Proxima Nova ExCn Rg" w:cstheme="minorHAnsi"/>
          <w:color w:val="000000" w:themeColor="text1"/>
        </w:rPr>
      </w:pPr>
    </w:p>
    <w:p w:rsidR="006F684C" w:rsidRPr="001537B6" w:rsidRDefault="006F684C" w:rsidP="006F684C">
      <w:pPr>
        <w:jc w:val="both"/>
        <w:rPr>
          <w:rFonts w:ascii="Proxima Nova ExCn Rg" w:eastAsia="SimSun" w:hAnsi="Proxima Nova ExCn Rg" w:cstheme="minorHAnsi"/>
          <w:b/>
          <w:color w:val="000000" w:themeColor="text1"/>
        </w:rPr>
      </w:pPr>
      <w:r w:rsidRPr="001537B6">
        <w:rPr>
          <w:rFonts w:ascii="Proxima Nova ExCn Rg" w:eastAsia="SimSun" w:hAnsi="Proxima Nova ExCn Rg" w:cstheme="minorHAnsi"/>
          <w:b/>
          <w:color w:val="000000" w:themeColor="text1"/>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rsidR="006F684C" w:rsidRPr="001537B6" w:rsidRDefault="006F684C" w:rsidP="006F684C">
      <w:pPr>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Приложение</w:t>
      </w:r>
      <w:r w:rsidRPr="001537B6">
        <w:rPr>
          <w:rFonts w:ascii="Proxima Nova ExCn Rg" w:hAnsi="Proxima Nova ExCn Rg" w:cstheme="minorHAnsi"/>
          <w:color w:val="000000" w:themeColor="text1"/>
        </w:rPr>
        <w:t xml:space="preserve">. </w:t>
      </w:r>
    </w:p>
    <w:p w:rsidR="006F684C" w:rsidRPr="001537B6" w:rsidRDefault="006F684C" w:rsidP="006F684C">
      <w:pPr>
        <w:pStyle w:val="a8"/>
        <w:widowControl/>
        <w:numPr>
          <w:ilvl w:val="0"/>
          <w:numId w:val="2"/>
        </w:numPr>
        <w:adjustRightInd/>
        <w:contextualSpacing w:val="0"/>
        <w:rPr>
          <w:rFonts w:ascii="Proxima Nova ExCn Rg" w:hAnsi="Proxima Nova ExCn Rg" w:cstheme="minorHAnsi"/>
          <w:i/>
          <w:color w:val="000000" w:themeColor="text1"/>
        </w:rPr>
      </w:pPr>
      <w:r w:rsidRPr="001537B6">
        <w:rPr>
          <w:rFonts w:ascii="Proxima Nova ExCn Rg" w:hAnsi="Proxima Nova ExCn Rg" w:cstheme="minorHAnsi"/>
          <w:color w:val="000000" w:themeColor="text1"/>
        </w:rPr>
        <w:t>Отчет эмитента.</w:t>
      </w:r>
    </w:p>
    <w:p w:rsidR="006F684C" w:rsidRPr="001537B6" w:rsidRDefault="006F684C" w:rsidP="006F684C">
      <w:pPr>
        <w:pStyle w:val="a8"/>
        <w:widowControl/>
        <w:numPr>
          <w:ilvl w:val="0"/>
          <w:numId w:val="2"/>
        </w:numPr>
        <w:adjustRightInd/>
        <w:contextualSpacing w:val="0"/>
        <w:rPr>
          <w:rFonts w:ascii="Proxima Nova ExCn Rg" w:hAnsi="Proxima Nova ExCn Rg" w:cstheme="minorHAnsi"/>
          <w:i/>
          <w:color w:val="000000" w:themeColor="text1"/>
        </w:rPr>
      </w:pPr>
      <w:r w:rsidRPr="001537B6">
        <w:rPr>
          <w:rFonts w:ascii="Proxima Nova ExCn Rg" w:hAnsi="Proxima Nova ExCn Rg" w:cstheme="minorHAnsi"/>
          <w:color w:val="000000" w:themeColor="text1"/>
        </w:rPr>
        <w:t xml:space="preserve">Структура собственности (состав и структура акционеров (участников), включая </w:t>
      </w:r>
      <w:proofErr w:type="spellStart"/>
      <w:r w:rsidRPr="001537B6">
        <w:rPr>
          <w:rFonts w:ascii="Proxima Nova ExCn Rg" w:hAnsi="Proxima Nova ExCn Rg" w:cstheme="minorHAnsi"/>
          <w:color w:val="000000" w:themeColor="text1"/>
        </w:rPr>
        <w:t>бенефициарных</w:t>
      </w:r>
      <w:proofErr w:type="spellEnd"/>
      <w:r w:rsidRPr="001537B6">
        <w:rPr>
          <w:rFonts w:ascii="Proxima Nova ExCn Rg" w:hAnsi="Proxima Nova ExCn Rg" w:cstheme="minorHAnsi"/>
          <w:color w:val="000000" w:themeColor="text1"/>
        </w:rPr>
        <w:t xml:space="preserve"> владельцев) </w:t>
      </w:r>
      <w:r w:rsidRPr="001537B6">
        <w:rPr>
          <w:rFonts w:ascii="Proxima Nova ExCn Rg" w:hAnsi="Proxima Nova ExCn Rg" w:cstheme="minorHAnsi"/>
          <w:i/>
          <w:color w:val="000000" w:themeColor="text1"/>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6F684C" w:rsidRPr="001537B6" w:rsidTr="00F3062D">
        <w:trPr>
          <w:trHeight w:hRule="exact" w:val="454"/>
        </w:trPr>
        <w:tc>
          <w:tcPr>
            <w:tcW w:w="5279" w:type="dxa"/>
            <w:tcBorders>
              <w:top w:val="nil"/>
              <w:left w:val="nil"/>
              <w:bottom w:val="single" w:sz="4" w:space="0" w:color="auto"/>
              <w:right w:val="nil"/>
            </w:tcBorders>
            <w:vAlign w:val="bottom"/>
          </w:tcPr>
          <w:p w:rsidR="006F684C" w:rsidRPr="001537B6" w:rsidRDefault="006F684C" w:rsidP="00F3062D">
            <w:pPr>
              <w:rPr>
                <w:rFonts w:ascii="Proxima Nova ExCn Rg" w:hAnsi="Proxima Nova ExCn Rg" w:cstheme="minorHAnsi"/>
                <w:color w:val="000000" w:themeColor="text1"/>
              </w:rPr>
            </w:pPr>
          </w:p>
          <w:p w:rsidR="006F684C" w:rsidRPr="001537B6" w:rsidRDefault="006F684C" w:rsidP="00F3062D">
            <w:pPr>
              <w:jc w:val="center"/>
              <w:rPr>
                <w:rFonts w:ascii="Proxima Nova ExCn Rg" w:hAnsi="Proxima Nova ExCn Rg" w:cstheme="minorHAnsi"/>
                <w:color w:val="000000" w:themeColor="text1"/>
              </w:rPr>
            </w:pPr>
          </w:p>
          <w:p w:rsidR="006F684C" w:rsidRPr="001537B6" w:rsidRDefault="006F684C" w:rsidP="00F3062D">
            <w:pPr>
              <w:jc w:val="center"/>
              <w:rPr>
                <w:rFonts w:ascii="Proxima Nova ExCn Rg" w:hAnsi="Proxima Nova ExCn Rg" w:cstheme="minorHAnsi"/>
                <w:color w:val="000000" w:themeColor="text1"/>
              </w:rPr>
            </w:pPr>
          </w:p>
        </w:tc>
        <w:tc>
          <w:tcPr>
            <w:tcW w:w="112" w:type="dxa"/>
            <w:tcBorders>
              <w:top w:val="nil"/>
              <w:left w:val="nil"/>
              <w:bottom w:val="nil"/>
              <w:right w:val="nil"/>
            </w:tcBorders>
            <w:vAlign w:val="bottom"/>
          </w:tcPr>
          <w:p w:rsidR="006F684C" w:rsidRPr="001537B6" w:rsidRDefault="006F684C" w:rsidP="00F3062D">
            <w:pPr>
              <w:jc w:val="center"/>
              <w:rPr>
                <w:rFonts w:ascii="Proxima Nova ExCn Rg" w:hAnsi="Proxima Nova ExCn Rg" w:cstheme="minorHAnsi"/>
                <w:color w:val="000000" w:themeColor="text1"/>
              </w:rPr>
            </w:pPr>
          </w:p>
        </w:tc>
        <w:tc>
          <w:tcPr>
            <w:tcW w:w="1123" w:type="dxa"/>
            <w:tcBorders>
              <w:top w:val="nil"/>
              <w:left w:val="nil"/>
              <w:bottom w:val="single" w:sz="4" w:space="0" w:color="auto"/>
              <w:right w:val="nil"/>
            </w:tcBorders>
            <w:vAlign w:val="bottom"/>
          </w:tcPr>
          <w:p w:rsidR="006F684C" w:rsidRPr="001537B6" w:rsidRDefault="006F684C" w:rsidP="00F3062D">
            <w:pPr>
              <w:jc w:val="center"/>
              <w:rPr>
                <w:rFonts w:ascii="Proxima Nova ExCn Rg" w:hAnsi="Proxima Nova ExCn Rg" w:cstheme="minorHAnsi"/>
                <w:color w:val="000000" w:themeColor="text1"/>
              </w:rPr>
            </w:pPr>
          </w:p>
        </w:tc>
        <w:tc>
          <w:tcPr>
            <w:tcW w:w="112" w:type="dxa"/>
            <w:tcBorders>
              <w:top w:val="nil"/>
              <w:left w:val="nil"/>
              <w:right w:val="nil"/>
            </w:tcBorders>
            <w:vAlign w:val="bottom"/>
          </w:tcPr>
          <w:p w:rsidR="006F684C" w:rsidRPr="001537B6" w:rsidRDefault="006F684C" w:rsidP="00F3062D">
            <w:pPr>
              <w:jc w:val="center"/>
              <w:rPr>
                <w:rFonts w:ascii="Proxima Nova ExCn Rg" w:hAnsi="Proxima Nova ExCn Rg" w:cstheme="minorHAnsi"/>
                <w:color w:val="000000" w:themeColor="text1"/>
              </w:rPr>
            </w:pPr>
          </w:p>
        </w:tc>
        <w:tc>
          <w:tcPr>
            <w:tcW w:w="2807" w:type="dxa"/>
            <w:tcBorders>
              <w:top w:val="nil"/>
              <w:left w:val="nil"/>
              <w:bottom w:val="single" w:sz="4" w:space="0" w:color="auto"/>
              <w:right w:val="nil"/>
            </w:tcBorders>
            <w:vAlign w:val="bottom"/>
          </w:tcPr>
          <w:p w:rsidR="006F684C" w:rsidRPr="001537B6" w:rsidRDefault="006F684C" w:rsidP="00F3062D">
            <w:pPr>
              <w:jc w:val="center"/>
              <w:rPr>
                <w:rFonts w:ascii="Proxima Nova ExCn Rg" w:hAnsi="Proxima Nova ExCn Rg" w:cstheme="minorHAnsi"/>
                <w:color w:val="000000" w:themeColor="text1"/>
              </w:rPr>
            </w:pPr>
          </w:p>
        </w:tc>
      </w:tr>
      <w:tr w:rsidR="006F684C" w:rsidRPr="001537B6" w:rsidTr="00F3062D">
        <w:trPr>
          <w:trHeight w:hRule="exact" w:val="227"/>
        </w:trPr>
        <w:tc>
          <w:tcPr>
            <w:tcW w:w="5279" w:type="dxa"/>
            <w:tcBorders>
              <w:top w:val="single" w:sz="4" w:space="0" w:color="auto"/>
              <w:left w:val="nil"/>
              <w:bottom w:val="nil"/>
              <w:right w:val="nil"/>
            </w:tcBorders>
          </w:tcPr>
          <w:p w:rsidR="006F684C" w:rsidRPr="001537B6" w:rsidRDefault="006F684C"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2" w:type="dxa"/>
            <w:tcBorders>
              <w:top w:val="nil"/>
              <w:left w:val="nil"/>
              <w:bottom w:val="nil"/>
              <w:right w:val="nil"/>
            </w:tcBorders>
          </w:tcPr>
          <w:p w:rsidR="006F684C" w:rsidRPr="001537B6" w:rsidRDefault="006F684C" w:rsidP="00F3062D">
            <w:pPr>
              <w:jc w:val="center"/>
              <w:rPr>
                <w:rFonts w:ascii="Proxima Nova ExCn Rg" w:hAnsi="Proxima Nova ExCn Rg" w:cstheme="minorHAnsi"/>
                <w:color w:val="000000" w:themeColor="text1"/>
              </w:rPr>
            </w:pPr>
          </w:p>
        </w:tc>
        <w:tc>
          <w:tcPr>
            <w:tcW w:w="1123" w:type="dxa"/>
            <w:tcBorders>
              <w:top w:val="single" w:sz="4" w:space="0" w:color="auto"/>
              <w:left w:val="nil"/>
              <w:bottom w:val="nil"/>
              <w:right w:val="nil"/>
            </w:tcBorders>
          </w:tcPr>
          <w:p w:rsidR="006F684C" w:rsidRPr="001537B6" w:rsidRDefault="006F684C"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2" w:type="dxa"/>
            <w:tcBorders>
              <w:left w:val="nil"/>
              <w:bottom w:val="nil"/>
              <w:right w:val="nil"/>
            </w:tcBorders>
          </w:tcPr>
          <w:p w:rsidR="006F684C" w:rsidRPr="001537B6" w:rsidRDefault="006F684C" w:rsidP="00F3062D">
            <w:pPr>
              <w:jc w:val="center"/>
              <w:rPr>
                <w:rFonts w:ascii="Proxima Nova ExCn Rg" w:hAnsi="Proxima Nova ExCn Rg" w:cstheme="minorHAnsi"/>
                <w:color w:val="000000" w:themeColor="text1"/>
              </w:rPr>
            </w:pPr>
          </w:p>
        </w:tc>
        <w:tc>
          <w:tcPr>
            <w:tcW w:w="2807" w:type="dxa"/>
            <w:tcBorders>
              <w:top w:val="single" w:sz="4" w:space="0" w:color="auto"/>
              <w:left w:val="nil"/>
              <w:bottom w:val="nil"/>
              <w:right w:val="nil"/>
            </w:tcBorders>
          </w:tcPr>
          <w:p w:rsidR="006F684C" w:rsidRPr="001537B6" w:rsidRDefault="006F684C"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890FC4" w:rsidRDefault="00C71AE9"/>
    <w:sectPr w:rsidR="00890FC4" w:rsidSect="006F684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Proxima Nova ExCn Rg">
    <w:panose1 w:val="02000506030000020004"/>
    <w:charset w:val="CC"/>
    <w:family w:val="auto"/>
    <w:pitch w:val="variable"/>
    <w:sig w:usb0="A00002EF" w:usb1="5000E0FB" w:usb2="00000000" w:usb3="00000000" w:csb0="0000019F" w:csb1="00000000"/>
  </w:font>
  <w:font w:name="Verdana,Bold">
    <w:altName w:val="Arial"/>
    <w:panose1 w:val="00000000000000000000"/>
    <w:charset w:val="00"/>
    <w:family w:val="swiss"/>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75C30"/>
    <w:multiLevelType w:val="hybridMultilevel"/>
    <w:tmpl w:val="3F5646EA"/>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18009F3"/>
    <w:multiLevelType w:val="hybridMultilevel"/>
    <w:tmpl w:val="2AEC0946"/>
    <w:lvl w:ilvl="0" w:tplc="9000E7F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3B"/>
    <w:rsid w:val="00136377"/>
    <w:rsid w:val="00292887"/>
    <w:rsid w:val="0044053B"/>
    <w:rsid w:val="0044414D"/>
    <w:rsid w:val="005F6C90"/>
    <w:rsid w:val="00691B02"/>
    <w:rsid w:val="006F684C"/>
    <w:rsid w:val="00905722"/>
    <w:rsid w:val="009F495D"/>
    <w:rsid w:val="00C71AE9"/>
    <w:rsid w:val="00CB6D41"/>
    <w:rsid w:val="00E5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40EAF-82AF-4EA0-A1D2-59E10889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84C"/>
    <w:pPr>
      <w:widowControl w:val="0"/>
      <w:autoSpaceDE w:val="0"/>
      <w:autoSpaceDN w:val="0"/>
      <w:adjustRightInd w:val="0"/>
    </w:pPr>
    <w:rPr>
      <w:rFonts w:ascii="Arial" w:eastAsia="Times New Roman" w:hAnsi="Arial" w:cs="Arial"/>
      <w:sz w:val="24"/>
      <w:szCs w:val="24"/>
      <w:lang w:eastAsia="ru-RU"/>
    </w:rPr>
  </w:style>
  <w:style w:type="paragraph" w:styleId="1">
    <w:name w:val="heading 1"/>
    <w:basedOn w:val="a"/>
    <w:next w:val="a"/>
    <w:link w:val="10"/>
    <w:autoRedefine/>
    <w:uiPriority w:val="9"/>
    <w:qFormat/>
    <w:rsid w:val="009F495D"/>
    <w:pPr>
      <w:keepNext/>
      <w:keepLines/>
      <w:spacing w:before="240"/>
      <w:outlineLvl w:val="0"/>
    </w:pPr>
    <w:rPr>
      <w:rFonts w:ascii="Proxima Nova" w:eastAsiaTheme="majorEastAsia" w:hAnsi="Proxima Nova" w:cstheme="majorBidi"/>
      <w:color w:val="000000" w:themeColor="text1"/>
      <w:sz w:val="32"/>
      <w:szCs w:val="32"/>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5D"/>
    <w:rPr>
      <w:rFonts w:ascii="Proxima Nova" w:eastAsiaTheme="majorEastAsia" w:hAnsi="Proxima Nova" w:cstheme="majorBidi"/>
      <w:color w:val="000000" w:themeColor="text1"/>
      <w:sz w:val="32"/>
      <w:szCs w:val="32"/>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spacing w:before="0" w:after="120"/>
      <w:outlineLvl w:val="1"/>
    </w:pPr>
    <w:rPr>
      <w:rFonts w:ascii="Proxima Nova ExCn Rg" w:eastAsiaTheme="minorEastAsia" w:hAnsi="Proxima Nova ExCn Rg" w:cstheme="minorBidi"/>
      <w:b/>
      <w:spacing w:val="15"/>
      <w:sz w:val="28"/>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9"/>
    <w:uiPriority w:val="34"/>
    <w:qFormat/>
    <w:rsid w:val="006F684C"/>
    <w:pPr>
      <w:ind w:left="720"/>
      <w:contextualSpacing/>
    </w:p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8"/>
    <w:uiPriority w:val="34"/>
    <w:qFormat/>
    <w:locked/>
    <w:rsid w:val="006F684C"/>
    <w:rPr>
      <w:rFonts w:ascii="Arial" w:eastAsia="Times New Roman" w:hAnsi="Arial" w:cs="Arial"/>
      <w:sz w:val="24"/>
      <w:szCs w:val="24"/>
      <w:lang w:eastAsia="ru-RU"/>
    </w:rPr>
  </w:style>
  <w:style w:type="paragraph" w:customStyle="1" w:styleId="ConsPlusNormal">
    <w:name w:val="ConsPlusNormal"/>
    <w:rsid w:val="006F684C"/>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Petrova Galina A.</cp:lastModifiedBy>
  <cp:revision>3</cp:revision>
  <dcterms:created xsi:type="dcterms:W3CDTF">2024-02-01T17:41:00Z</dcterms:created>
  <dcterms:modified xsi:type="dcterms:W3CDTF">2024-02-01T18:01:00Z</dcterms:modified>
</cp:coreProperties>
</file>