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15" w:rsidRDefault="007E5C15" w:rsidP="006E58A7">
      <w:pPr>
        <w:shd w:val="clear" w:color="auto" w:fill="FFFFFF"/>
        <w:spacing w:after="0" w:line="319" w:lineRule="auto"/>
        <w:ind w:firstLine="709"/>
        <w:jc w:val="both"/>
        <w:rPr>
          <w:rFonts w:ascii="Proxima Nova ExCn Rg" w:eastAsia="Times New Roman" w:hAnsi="Proxima Nova ExCn Rg" w:cs="Helvetica"/>
          <w:b/>
          <w:bCs/>
          <w:color w:val="212529"/>
          <w:sz w:val="30"/>
          <w:szCs w:val="30"/>
          <w:shd w:val="clear" w:color="auto" w:fill="FFFFFF"/>
          <w:lang w:eastAsia="ru-RU"/>
        </w:rPr>
      </w:pPr>
      <w:r w:rsidRPr="007E5C15">
        <w:rPr>
          <w:rFonts w:ascii="Proxima Nova ExCn Rg" w:eastAsia="Times New Roman" w:hAnsi="Proxima Nova ExCn Rg" w:cs="Helvetica"/>
          <w:b/>
          <w:bCs/>
          <w:color w:val="212529"/>
          <w:sz w:val="30"/>
          <w:szCs w:val="30"/>
          <w:shd w:val="clear" w:color="auto" w:fill="FFFFFF"/>
          <w:lang w:eastAsia="ru-RU"/>
        </w:rPr>
        <w:t xml:space="preserve">Заключен договор страхования гражданской (профессиональной) ответственности </w:t>
      </w:r>
      <w:r w:rsidR="006E58A7">
        <w:rPr>
          <w:rFonts w:ascii="Proxima Nova ExCn Rg" w:eastAsia="Times New Roman" w:hAnsi="Proxima Nova ExCn Rg" w:cs="Helvetica"/>
          <w:b/>
          <w:bCs/>
          <w:color w:val="212529"/>
          <w:sz w:val="30"/>
          <w:szCs w:val="30"/>
          <w:shd w:val="clear" w:color="auto" w:fill="FFFFFF"/>
          <w:lang w:eastAsia="ru-RU"/>
        </w:rPr>
        <w:t>АО «РТ-Регистратор»</w:t>
      </w:r>
    </w:p>
    <w:p w:rsidR="007E5C15" w:rsidRPr="007E5C15" w:rsidRDefault="007E5C15" w:rsidP="007E5C15">
      <w:pPr>
        <w:shd w:val="clear" w:color="auto" w:fill="FFFFFF"/>
        <w:spacing w:after="0" w:line="319" w:lineRule="auto"/>
        <w:ind w:firstLine="709"/>
        <w:rPr>
          <w:rFonts w:ascii="Proxima Nova ExCn Rg" w:eastAsia="Times New Roman" w:hAnsi="Proxima Nova ExCn Rg" w:cs="Times New Roman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shd w:val="clear" w:color="auto" w:fill="FFFFFF"/>
          <w:lang w:eastAsia="ru-RU"/>
        </w:rPr>
        <w:t>АО «РТ-Регистратор» застраховало свою профессиональную деятельность на период по март 2027 года</w:t>
      </w:r>
      <w:r w:rsidRPr="007E5C15"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  <w:t xml:space="preserve">, </w:t>
      </w: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shd w:val="clear" w:color="auto" w:fill="FFFFFF"/>
          <w:lang w:eastAsia="ru-RU"/>
        </w:rPr>
        <w:t>в том числе: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ведение реестров владельцев ценных бумаг, в том числе с применением электронного документооборота с использованием электронной подписи;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выполнение функций счетной комиссии на общих собраниях акционеров акционерных обществ;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осуществление почтовых рассылок материалов к общим собраниям акционеров, предложений о выкупе и т.п. акционерам;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начисление, организация выплаты дивидендов по ценным бумагам, зарегистрированным в реестрах эмитентов владельцев ценных бумаг лицам, имеющим в установленном законодательством Российской Федерации порядке право на их получение;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оказание услуг трансфер-агента для регистраторов; 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осуществление деятельности в качестве Участника электронного документооборота;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оказание услуг по сопровождению выкупов ценных бумаг Эмитентом (самим акционерным обществом) или выкупов ценных бумаг в порядке, установленном гл. XI.I ФЗ «Об акционерных обществах»;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оказание услуг по приему и обработке заявлений/требований акционеров в рамках процедур реализации преимущественного права приобретения ценных бумаг, размещаемых в рамках эмиссии ценных бумаг, выкупов эмитентом (самим акционерным обществом) или выкупов ценных бумаг в порядке, установленном гл. XI.I ФЗ «Об акционерных обществах», иных корпоративных действий, выполнение которых возложено (будет возложено) на регистратора в соответствии с ФЗ «Об акционерных обществах» и ФЗ «О рынке ценных бумаг»;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осуществление регистрации выпусков акций, подлежащих размещению при учреждении акционерных обществ, а также реализация полномочий заявителя при государственной регистрации акционерного общества как юридического лица в ФНС России;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 xml:space="preserve">оказание услуг </w:t>
      </w:r>
      <w:proofErr w:type="spellStart"/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эскроу</w:t>
      </w:r>
      <w:proofErr w:type="spellEnd"/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-агента по договору условного депонирования (</w:t>
      </w:r>
      <w:proofErr w:type="spellStart"/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эскроу</w:t>
      </w:r>
      <w:proofErr w:type="spellEnd"/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) ценных бумаг;</w:t>
      </w:r>
    </w:p>
    <w:p w:rsidR="007E5C15" w:rsidRPr="007E5C15" w:rsidRDefault="007E5C15" w:rsidP="007E5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Helvetica"/>
          <w:color w:val="212529"/>
          <w:sz w:val="30"/>
          <w:szCs w:val="30"/>
          <w:lang w:eastAsia="ru-RU"/>
        </w:rPr>
        <w:t>деятельность в качестве оператора инвестиционной платформы.</w:t>
      </w:r>
    </w:p>
    <w:p w:rsidR="00D47B10" w:rsidRPr="007E5C15" w:rsidRDefault="007E5C15" w:rsidP="006851A1">
      <w:pPr>
        <w:shd w:val="clear" w:color="auto" w:fill="FFFFFF"/>
        <w:spacing w:after="0" w:line="319" w:lineRule="auto"/>
        <w:ind w:firstLine="709"/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</w:pPr>
      <w:r w:rsidRPr="007E5C15"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  <w:t>Общий л</w:t>
      </w:r>
      <w:r w:rsidR="00D47B10" w:rsidRPr="007E5C15"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  <w:t xml:space="preserve">имит ответственности Страховщика по всем страховым случаям </w:t>
      </w:r>
      <w:r w:rsidR="006E58A7"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  <w:t xml:space="preserve">составляет </w:t>
      </w:r>
      <w:bookmarkStart w:id="0" w:name="_GoBack"/>
      <w:bookmarkEnd w:id="0"/>
      <w:r w:rsidR="00D47B10" w:rsidRPr="007E5C15">
        <w:rPr>
          <w:rFonts w:ascii="Proxima Nova ExCn Rg" w:eastAsia="Times New Roman" w:hAnsi="Proxima Nova ExCn Rg" w:cs="Arial"/>
          <w:color w:val="232323"/>
          <w:sz w:val="30"/>
          <w:szCs w:val="30"/>
          <w:lang w:eastAsia="ru-RU"/>
        </w:rPr>
        <w:t>25 000 000 рублей.</w:t>
      </w:r>
    </w:p>
    <w:sectPr w:rsidR="00D47B10" w:rsidRPr="007E5C15" w:rsidSect="005A52D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C34"/>
    <w:multiLevelType w:val="multilevel"/>
    <w:tmpl w:val="DFB6C3D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D07180"/>
    <w:multiLevelType w:val="hybridMultilevel"/>
    <w:tmpl w:val="6C987FFC"/>
    <w:lvl w:ilvl="0" w:tplc="66A434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01DB5"/>
    <w:multiLevelType w:val="multilevel"/>
    <w:tmpl w:val="C73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C0BB2"/>
    <w:multiLevelType w:val="hybridMultilevel"/>
    <w:tmpl w:val="A00A2264"/>
    <w:lvl w:ilvl="0" w:tplc="B1CC8B5A">
      <w:start w:val="1"/>
      <w:numFmt w:val="russianLower"/>
      <w:lvlText w:val="%1)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52776C74"/>
    <w:multiLevelType w:val="hybridMultilevel"/>
    <w:tmpl w:val="DDF241C2"/>
    <w:lvl w:ilvl="0" w:tplc="66A434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91509C"/>
    <w:multiLevelType w:val="hybridMultilevel"/>
    <w:tmpl w:val="6F3E2D62"/>
    <w:lvl w:ilvl="0" w:tplc="610EC7FA">
      <w:start w:val="1"/>
      <w:numFmt w:val="bullet"/>
      <w:lvlText w:val="-"/>
      <w:lvlJc w:val="left"/>
      <w:pPr>
        <w:ind w:left="75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75896723"/>
    <w:multiLevelType w:val="hybridMultilevel"/>
    <w:tmpl w:val="CDEC5264"/>
    <w:lvl w:ilvl="0" w:tplc="2528D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10"/>
    <w:rsid w:val="00046264"/>
    <w:rsid w:val="004D1728"/>
    <w:rsid w:val="005A52D7"/>
    <w:rsid w:val="006851A1"/>
    <w:rsid w:val="006E58A7"/>
    <w:rsid w:val="007E5C15"/>
    <w:rsid w:val="00CC38E5"/>
    <w:rsid w:val="00D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59B5"/>
  <w15:chartTrackingRefBased/>
  <w15:docId w15:val="{B7E36A91-E930-4E01-969F-10B92196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Дарья Владимировна</dc:creator>
  <cp:keywords/>
  <dc:description/>
  <cp:lastModifiedBy>Никонова Алена Евгеньевна</cp:lastModifiedBy>
  <cp:revision>3</cp:revision>
  <dcterms:created xsi:type="dcterms:W3CDTF">2026-03-15T06:03:00Z</dcterms:created>
  <dcterms:modified xsi:type="dcterms:W3CDTF">2026-03-15T06:04:00Z</dcterms:modified>
</cp:coreProperties>
</file>